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B4" w:rsidRDefault="00F11BB4" w:rsidP="00DB53D2">
      <w:pPr>
        <w:jc w:val="both"/>
      </w:pPr>
    </w:p>
    <w:p w:rsidR="00F11BB4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I. PROPÓSITO</w:t>
      </w:r>
    </w:p>
    <w:p w:rsidR="003F7605" w:rsidRPr="00803517" w:rsidRDefault="003F7605" w:rsidP="00DB53D2">
      <w:pPr>
        <w:jc w:val="both"/>
        <w:rPr>
          <w:rFonts w:ascii="Arial" w:hAnsi="Arial" w:cs="Arial"/>
          <w:b/>
        </w:rPr>
      </w:pPr>
    </w:p>
    <w:p w:rsidR="00CC79A3" w:rsidRDefault="00803517" w:rsidP="006B50A9">
      <w:pPr>
        <w:ind w:firstLine="708"/>
        <w:jc w:val="both"/>
        <w:rPr>
          <w:rFonts w:ascii="Arial" w:hAnsi="Arial" w:cs="Arial"/>
        </w:rPr>
      </w:pPr>
      <w:r w:rsidRPr="00803517">
        <w:rPr>
          <w:rFonts w:ascii="Arial" w:hAnsi="Arial" w:cs="Arial"/>
        </w:rPr>
        <w:t>I.1.</w:t>
      </w:r>
      <w:r w:rsidR="007C490A">
        <w:rPr>
          <w:rFonts w:ascii="Arial" w:hAnsi="Arial" w:cs="Arial"/>
        </w:rPr>
        <w:t>Describir las leyes aplicables tanto locales, nacionales e Internacionales que rigen a nuestra Investigación.</w:t>
      </w:r>
    </w:p>
    <w:p w:rsidR="006B50A9" w:rsidRDefault="006B50A9" w:rsidP="006B50A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I.2. </w:t>
      </w:r>
      <w:r w:rsidR="007C490A">
        <w:rPr>
          <w:rFonts w:ascii="Arial" w:hAnsi="Arial" w:cs="Arial"/>
        </w:rPr>
        <w:t>Determinar que individuos cumplen con las definiciones legales de “representante legal”, “niño”, “guardián o tutor”.</w:t>
      </w:r>
    </w:p>
    <w:p w:rsidR="00CC79A3" w:rsidRDefault="00CC79A3" w:rsidP="00CC79A3">
      <w:pPr>
        <w:ind w:firstLine="708"/>
        <w:jc w:val="both"/>
        <w:rPr>
          <w:rFonts w:ascii="Arial" w:hAnsi="Arial" w:cs="Arial"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II. REVISIONES DE VERSIONES PREVIAS</w:t>
      </w:r>
    </w:p>
    <w:p w:rsidR="003F7605" w:rsidRDefault="003F7605" w:rsidP="00DB53D2">
      <w:pPr>
        <w:jc w:val="both"/>
        <w:rPr>
          <w:rFonts w:ascii="Arial" w:hAnsi="Arial" w:cs="Arial"/>
          <w:b/>
        </w:rPr>
      </w:pPr>
    </w:p>
    <w:p w:rsidR="00803517" w:rsidRPr="008A1BE2" w:rsidRDefault="00D12261" w:rsidP="00DB53D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Ver 04</w:t>
      </w:r>
    </w:p>
    <w:p w:rsidR="00803517" w:rsidRPr="00803517" w:rsidRDefault="00803517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III. POLÍTICAS</w:t>
      </w:r>
    </w:p>
    <w:p w:rsidR="003F7605" w:rsidRPr="00803517" w:rsidRDefault="003F7605" w:rsidP="00DB53D2">
      <w:pPr>
        <w:jc w:val="both"/>
        <w:rPr>
          <w:rFonts w:ascii="Arial" w:hAnsi="Arial" w:cs="Arial"/>
          <w:b/>
        </w:rPr>
      </w:pPr>
    </w:p>
    <w:p w:rsidR="00DA0186" w:rsidRDefault="00DA0186" w:rsidP="00DA0186">
      <w:pPr>
        <w:spacing w:after="120"/>
        <w:ind w:left="28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El </w:t>
      </w:r>
      <w:r w:rsidR="00C27964">
        <w:rPr>
          <w:rFonts w:ascii="Arial" w:hAnsi="Arial" w:cs="Arial"/>
          <w:lang w:val="es-MX"/>
        </w:rPr>
        <w:t xml:space="preserve">Secretario de Investigación </w:t>
      </w:r>
      <w:r w:rsidR="004F065F">
        <w:rPr>
          <w:rFonts w:ascii="Arial" w:hAnsi="Arial" w:cs="Arial"/>
          <w:lang w:val="es-MX"/>
        </w:rPr>
        <w:t>C</w:t>
      </w:r>
      <w:r w:rsidR="00C27964">
        <w:rPr>
          <w:rFonts w:ascii="Arial" w:hAnsi="Arial" w:cs="Arial"/>
          <w:lang w:val="es-MX"/>
        </w:rPr>
        <w:t>línica a través de la Subdirección de Investigación</w:t>
      </w:r>
      <w:r w:rsidR="004F065F">
        <w:rPr>
          <w:rFonts w:ascii="Arial" w:hAnsi="Arial" w:cs="Arial"/>
          <w:lang w:val="es-MX"/>
        </w:rPr>
        <w:t xml:space="preserve">, es el </w:t>
      </w:r>
      <w:r w:rsidR="00C27964">
        <w:rPr>
          <w:rFonts w:ascii="Arial" w:hAnsi="Arial" w:cs="Arial"/>
          <w:lang w:val="es-MX"/>
        </w:rPr>
        <w:t xml:space="preserve">responsable de la correcta ejecución del Programa de Protección </w:t>
      </w:r>
      <w:r w:rsidR="004F065F">
        <w:rPr>
          <w:rFonts w:ascii="Arial" w:hAnsi="Arial" w:cs="Arial"/>
          <w:lang w:val="es-MX"/>
        </w:rPr>
        <w:t>de</w:t>
      </w:r>
      <w:r w:rsidR="00C27964">
        <w:rPr>
          <w:rFonts w:ascii="Arial" w:hAnsi="Arial" w:cs="Arial"/>
          <w:lang w:val="es-MX"/>
        </w:rPr>
        <w:t xml:space="preserve"> Sujetos </w:t>
      </w:r>
      <w:r w:rsidR="004F065F">
        <w:rPr>
          <w:rFonts w:ascii="Arial" w:hAnsi="Arial" w:cs="Arial"/>
          <w:lang w:val="es-MX"/>
        </w:rPr>
        <w:t>de</w:t>
      </w:r>
      <w:r w:rsidR="00C27964">
        <w:rPr>
          <w:rFonts w:ascii="Arial" w:hAnsi="Arial" w:cs="Arial"/>
          <w:lang w:val="es-MX"/>
        </w:rPr>
        <w:t xml:space="preserve"> Investigación, </w:t>
      </w:r>
      <w:r w:rsidR="004F065F">
        <w:rPr>
          <w:rFonts w:ascii="Arial" w:hAnsi="Arial" w:cs="Arial"/>
          <w:lang w:val="es-MX"/>
        </w:rPr>
        <w:t>este</w:t>
      </w:r>
      <w:r w:rsidR="00C27964">
        <w:rPr>
          <w:rFonts w:ascii="Arial" w:hAnsi="Arial" w:cs="Arial"/>
          <w:lang w:val="es-MX"/>
        </w:rPr>
        <w:t xml:space="preserve"> programa incluye una independencia en la toma de decisiones por parte de los diferentes integrantes de</w:t>
      </w:r>
      <w:r w:rsidR="004F065F">
        <w:rPr>
          <w:rFonts w:ascii="Arial" w:hAnsi="Arial" w:cs="Arial"/>
          <w:lang w:val="es-MX"/>
        </w:rPr>
        <w:t>l</w:t>
      </w:r>
      <w:r w:rsidR="00C27964">
        <w:rPr>
          <w:rFonts w:ascii="Arial" w:hAnsi="Arial" w:cs="Arial"/>
          <w:lang w:val="es-MX"/>
        </w:rPr>
        <w:t xml:space="preserve"> Comité</w:t>
      </w:r>
      <w:r w:rsidR="004F065F">
        <w:rPr>
          <w:rFonts w:ascii="Arial" w:hAnsi="Arial" w:cs="Arial"/>
          <w:lang w:val="es-MX"/>
        </w:rPr>
        <w:t xml:space="preserve"> para</w:t>
      </w:r>
      <w:r w:rsidR="00C27964">
        <w:rPr>
          <w:rFonts w:ascii="Arial" w:hAnsi="Arial" w:cs="Arial"/>
          <w:lang w:val="es-MX"/>
        </w:rPr>
        <w:t xml:space="preserve"> garantizar que todas </w:t>
      </w:r>
      <w:r w:rsidR="004F065F">
        <w:rPr>
          <w:rFonts w:ascii="Arial" w:hAnsi="Arial" w:cs="Arial"/>
          <w:lang w:val="es-MX"/>
        </w:rPr>
        <w:t>las</w:t>
      </w:r>
      <w:r w:rsidR="00C27964">
        <w:rPr>
          <w:rFonts w:ascii="Arial" w:hAnsi="Arial" w:cs="Arial"/>
          <w:lang w:val="es-MX"/>
        </w:rPr>
        <w:t xml:space="preserve"> actividades sean ejercidas sin ningún tipo de presión, coerción o influencia de cualquier </w:t>
      </w:r>
      <w:r w:rsidR="004F065F">
        <w:rPr>
          <w:rFonts w:ascii="Arial" w:hAnsi="Arial" w:cs="Arial"/>
          <w:lang w:val="es-MX"/>
        </w:rPr>
        <w:t>niv</w:t>
      </w:r>
      <w:r w:rsidR="00C27964">
        <w:rPr>
          <w:rFonts w:ascii="Arial" w:hAnsi="Arial" w:cs="Arial"/>
          <w:lang w:val="es-MX"/>
        </w:rPr>
        <w:t>el incluyendo Directores, Jefes de Departamento/servicio, investigadore</w:t>
      </w:r>
      <w:r w:rsidR="00946CCA">
        <w:rPr>
          <w:rFonts w:ascii="Arial" w:hAnsi="Arial" w:cs="Arial"/>
          <w:lang w:val="es-MX"/>
        </w:rPr>
        <w:t xml:space="preserve">s, </w:t>
      </w:r>
      <w:r w:rsidR="004F065F">
        <w:rPr>
          <w:rFonts w:ascii="Arial" w:hAnsi="Arial" w:cs="Arial"/>
          <w:lang w:val="es-MX"/>
        </w:rPr>
        <w:t>p</w:t>
      </w:r>
      <w:r w:rsidR="00946CCA">
        <w:rPr>
          <w:rFonts w:ascii="Arial" w:hAnsi="Arial" w:cs="Arial"/>
          <w:lang w:val="es-MX"/>
        </w:rPr>
        <w:t xml:space="preserve">atrocinadores, </w:t>
      </w:r>
      <w:r w:rsidR="004F065F">
        <w:rPr>
          <w:rFonts w:ascii="Arial" w:hAnsi="Arial" w:cs="Arial"/>
          <w:lang w:val="es-MX"/>
        </w:rPr>
        <w:t>O</w:t>
      </w:r>
      <w:r w:rsidR="00946CCA">
        <w:rPr>
          <w:rFonts w:ascii="Arial" w:hAnsi="Arial" w:cs="Arial"/>
          <w:lang w:val="es-MX"/>
        </w:rPr>
        <w:t xml:space="preserve">rganizaciones de </w:t>
      </w:r>
      <w:r w:rsidR="004F065F">
        <w:rPr>
          <w:rFonts w:ascii="Arial" w:hAnsi="Arial" w:cs="Arial"/>
          <w:lang w:val="es-MX"/>
        </w:rPr>
        <w:t>I</w:t>
      </w:r>
      <w:r w:rsidR="00946CCA">
        <w:rPr>
          <w:rFonts w:ascii="Arial" w:hAnsi="Arial" w:cs="Arial"/>
          <w:lang w:val="es-MX"/>
        </w:rPr>
        <w:t xml:space="preserve">nvestigación </w:t>
      </w:r>
      <w:r w:rsidR="004F065F">
        <w:rPr>
          <w:rFonts w:ascii="Arial" w:hAnsi="Arial" w:cs="Arial"/>
          <w:lang w:val="es-MX"/>
        </w:rPr>
        <w:t>C</w:t>
      </w:r>
      <w:r w:rsidR="00946CCA">
        <w:rPr>
          <w:rFonts w:ascii="Arial" w:hAnsi="Arial" w:cs="Arial"/>
          <w:lang w:val="es-MX"/>
        </w:rPr>
        <w:t>l</w:t>
      </w:r>
      <w:r w:rsidR="004F065F">
        <w:rPr>
          <w:rFonts w:ascii="Arial" w:hAnsi="Arial" w:cs="Arial"/>
          <w:lang w:val="es-MX"/>
        </w:rPr>
        <w:t>í</w:t>
      </w:r>
      <w:r w:rsidR="00946CCA">
        <w:rPr>
          <w:rFonts w:ascii="Arial" w:hAnsi="Arial" w:cs="Arial"/>
          <w:lang w:val="es-MX"/>
        </w:rPr>
        <w:t>nica (CRO)</w:t>
      </w:r>
      <w:r w:rsidR="00C27964">
        <w:rPr>
          <w:rFonts w:ascii="Arial" w:hAnsi="Arial" w:cs="Arial"/>
          <w:lang w:val="es-MX"/>
        </w:rPr>
        <w:t>, o cualquier otro individuo o institución involucrado o no a la investigación.</w:t>
      </w:r>
    </w:p>
    <w:p w:rsidR="00DA0186" w:rsidRPr="00DA0186" w:rsidRDefault="00DA0186" w:rsidP="00DA0186">
      <w:pPr>
        <w:pStyle w:val="Ttulo2"/>
        <w:jc w:val="both"/>
        <w:rPr>
          <w:rFonts w:ascii="Arial" w:hAnsi="Arial" w:cs="Arial"/>
          <w:color w:val="auto"/>
          <w:lang w:val="es-MX"/>
        </w:rPr>
      </w:pPr>
      <w:r w:rsidRPr="00DA0186">
        <w:rPr>
          <w:rFonts w:ascii="Arial" w:hAnsi="Arial" w:cs="Arial"/>
          <w:color w:val="auto"/>
          <w:sz w:val="24"/>
          <w:lang w:val="es-MX"/>
        </w:rPr>
        <w:t>Políticas específicas</w:t>
      </w:r>
    </w:p>
    <w:p w:rsidR="003C6FEA" w:rsidRPr="003C6FEA" w:rsidRDefault="002B0336" w:rsidP="003C6FEA">
      <w:pPr>
        <w:pStyle w:val="Ttulo2"/>
        <w:numPr>
          <w:ilvl w:val="1"/>
          <w:numId w:val="13"/>
        </w:numPr>
        <w:jc w:val="both"/>
        <w:rPr>
          <w:rFonts w:ascii="Arial" w:hAnsi="Arial" w:cs="Arial"/>
          <w:color w:val="auto"/>
          <w:sz w:val="24"/>
          <w:lang w:val="es-MX"/>
        </w:rPr>
      </w:pPr>
      <w:r>
        <w:rPr>
          <w:rFonts w:ascii="Arial" w:hAnsi="Arial" w:cs="Arial"/>
          <w:color w:val="auto"/>
          <w:sz w:val="24"/>
          <w:lang w:val="es-MX"/>
        </w:rPr>
        <w:t>Garantía de Independencia</w:t>
      </w:r>
    </w:p>
    <w:p w:rsidR="002B0336" w:rsidRDefault="00DE788F" w:rsidP="003F7605">
      <w:pPr>
        <w:ind w:left="678"/>
        <w:jc w:val="both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t xml:space="preserve">Es </w:t>
      </w:r>
      <w:r w:rsidR="004F065F">
        <w:rPr>
          <w:rFonts w:ascii="Arial" w:hAnsi="Arial" w:cs="Arial"/>
          <w:szCs w:val="22"/>
          <w:lang w:val="es-MX"/>
        </w:rPr>
        <w:t>p</w:t>
      </w:r>
      <w:r>
        <w:rPr>
          <w:rFonts w:ascii="Arial" w:hAnsi="Arial" w:cs="Arial"/>
          <w:szCs w:val="22"/>
          <w:lang w:val="es-MX"/>
        </w:rPr>
        <w:t xml:space="preserve">olítica de nuestra Institución garantizar la </w:t>
      </w:r>
      <w:r w:rsidR="004F065F">
        <w:rPr>
          <w:rFonts w:ascii="Arial" w:hAnsi="Arial" w:cs="Arial"/>
          <w:szCs w:val="22"/>
          <w:lang w:val="es-MX"/>
        </w:rPr>
        <w:t>i</w:t>
      </w:r>
      <w:r>
        <w:rPr>
          <w:rFonts w:ascii="Arial" w:hAnsi="Arial" w:cs="Arial"/>
          <w:szCs w:val="22"/>
          <w:lang w:val="es-MX"/>
        </w:rPr>
        <w:t xml:space="preserve">ndependencia del </w:t>
      </w:r>
      <w:r w:rsidR="003F7605">
        <w:rPr>
          <w:rFonts w:ascii="Arial" w:hAnsi="Arial" w:cs="Arial"/>
          <w:szCs w:val="22"/>
          <w:lang w:val="es-MX"/>
        </w:rPr>
        <w:t>CEI</w:t>
      </w:r>
      <w:r>
        <w:rPr>
          <w:rFonts w:ascii="Arial" w:hAnsi="Arial" w:cs="Arial"/>
          <w:szCs w:val="22"/>
          <w:lang w:val="es-MX"/>
        </w:rPr>
        <w:t xml:space="preserve"> con el fin de salvaguardar los derechos y bienestar de los sujetos, </w:t>
      </w:r>
      <w:r w:rsidR="004F065F">
        <w:rPr>
          <w:rFonts w:ascii="Arial" w:hAnsi="Arial" w:cs="Arial"/>
          <w:szCs w:val="22"/>
          <w:lang w:val="es-MX"/>
        </w:rPr>
        <w:t>e</w:t>
      </w:r>
      <w:r>
        <w:rPr>
          <w:rFonts w:ascii="Arial" w:hAnsi="Arial" w:cs="Arial"/>
          <w:szCs w:val="22"/>
          <w:lang w:val="es-MX"/>
        </w:rPr>
        <w:t>sto</w:t>
      </w:r>
      <w:r w:rsidR="004F065F">
        <w:rPr>
          <w:rFonts w:ascii="Arial" w:hAnsi="Arial" w:cs="Arial"/>
          <w:szCs w:val="22"/>
          <w:lang w:val="es-MX"/>
        </w:rPr>
        <w:t>,</w:t>
      </w:r>
      <w:r>
        <w:rPr>
          <w:rFonts w:ascii="Arial" w:hAnsi="Arial" w:cs="Arial"/>
          <w:szCs w:val="22"/>
          <w:lang w:val="es-MX"/>
        </w:rPr>
        <w:t xml:space="preserve"> es a través del Reglamento Interno de Investigación.</w:t>
      </w:r>
    </w:p>
    <w:p w:rsidR="003C6FEA" w:rsidRPr="003C6FEA" w:rsidRDefault="003C6FEA" w:rsidP="003C6FEA">
      <w:pPr>
        <w:pStyle w:val="Ttulo2"/>
        <w:numPr>
          <w:ilvl w:val="1"/>
          <w:numId w:val="13"/>
        </w:numPr>
        <w:jc w:val="both"/>
        <w:rPr>
          <w:rFonts w:ascii="Arial" w:hAnsi="Arial" w:cs="Arial"/>
          <w:color w:val="auto"/>
          <w:sz w:val="24"/>
          <w:lang w:val="es-MX"/>
        </w:rPr>
      </w:pPr>
      <w:r>
        <w:rPr>
          <w:rFonts w:ascii="Arial" w:hAnsi="Arial" w:cs="Arial"/>
          <w:color w:val="auto"/>
          <w:sz w:val="24"/>
          <w:lang w:val="es-MX"/>
        </w:rPr>
        <w:t xml:space="preserve">Libre de </w:t>
      </w:r>
      <w:r w:rsidR="004F065F">
        <w:rPr>
          <w:rFonts w:ascii="Arial" w:hAnsi="Arial" w:cs="Arial"/>
          <w:color w:val="auto"/>
          <w:sz w:val="24"/>
          <w:lang w:val="es-MX"/>
        </w:rPr>
        <w:t>c</w:t>
      </w:r>
      <w:r>
        <w:rPr>
          <w:rFonts w:ascii="Arial" w:hAnsi="Arial" w:cs="Arial"/>
          <w:color w:val="auto"/>
          <w:sz w:val="24"/>
          <w:lang w:val="es-MX"/>
        </w:rPr>
        <w:t>oerción, influencia o presión.</w:t>
      </w:r>
    </w:p>
    <w:p w:rsidR="003C6FEA" w:rsidRDefault="003C6FEA" w:rsidP="003F7605">
      <w:pPr>
        <w:ind w:left="678"/>
        <w:jc w:val="both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t>A través de un sistema de reporte, nuestros integrantes p</w:t>
      </w:r>
      <w:r w:rsidR="004F065F">
        <w:rPr>
          <w:rFonts w:ascii="Arial" w:hAnsi="Arial" w:cs="Arial"/>
          <w:szCs w:val="22"/>
          <w:lang w:val="es-MX"/>
        </w:rPr>
        <w:t>ueden</w:t>
      </w:r>
      <w:r>
        <w:rPr>
          <w:rFonts w:ascii="Arial" w:hAnsi="Arial" w:cs="Arial"/>
          <w:szCs w:val="22"/>
          <w:lang w:val="es-MX"/>
        </w:rPr>
        <w:t xml:space="preserve"> realizar cualquier reporte de coerción, presión o influencia por cualquier involucrado en la investigación.</w:t>
      </w:r>
    </w:p>
    <w:p w:rsidR="003C6FEA" w:rsidRPr="003C6FEA" w:rsidRDefault="003C6FEA" w:rsidP="003C6FEA">
      <w:pPr>
        <w:pStyle w:val="Ttulo2"/>
        <w:numPr>
          <w:ilvl w:val="1"/>
          <w:numId w:val="13"/>
        </w:numPr>
        <w:jc w:val="both"/>
        <w:rPr>
          <w:rFonts w:ascii="Arial" w:hAnsi="Arial" w:cs="Arial"/>
          <w:color w:val="auto"/>
          <w:sz w:val="24"/>
          <w:lang w:val="es-MX"/>
        </w:rPr>
      </w:pPr>
      <w:r>
        <w:rPr>
          <w:rFonts w:ascii="Arial" w:hAnsi="Arial" w:cs="Arial"/>
          <w:color w:val="auto"/>
          <w:sz w:val="24"/>
          <w:lang w:val="es-MX"/>
        </w:rPr>
        <w:t>Decisiones a tomar.</w:t>
      </w:r>
    </w:p>
    <w:p w:rsidR="003C6FEA" w:rsidRDefault="004F065F" w:rsidP="003F7605">
      <w:pPr>
        <w:ind w:left="678"/>
        <w:jc w:val="both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t xml:space="preserve">El </w:t>
      </w:r>
      <w:r w:rsidR="003C6FEA">
        <w:rPr>
          <w:rFonts w:ascii="Arial" w:hAnsi="Arial" w:cs="Arial"/>
          <w:szCs w:val="22"/>
          <w:lang w:val="es-MX"/>
        </w:rPr>
        <w:t xml:space="preserve">Secretario de Investigación </w:t>
      </w:r>
      <w:r>
        <w:rPr>
          <w:rFonts w:ascii="Arial" w:hAnsi="Arial" w:cs="Arial"/>
          <w:szCs w:val="22"/>
          <w:lang w:val="es-MX"/>
        </w:rPr>
        <w:t>C</w:t>
      </w:r>
      <w:r w:rsidR="003C6FEA">
        <w:rPr>
          <w:rFonts w:ascii="Arial" w:hAnsi="Arial" w:cs="Arial"/>
          <w:szCs w:val="22"/>
          <w:lang w:val="es-MX"/>
        </w:rPr>
        <w:t>línica, responsable del Programa HRPP, siempre salvaguarda los derechos y bienestar de los pacientes</w:t>
      </w:r>
      <w:r>
        <w:rPr>
          <w:rFonts w:ascii="Arial" w:hAnsi="Arial" w:cs="Arial"/>
          <w:szCs w:val="22"/>
          <w:lang w:val="es-MX"/>
        </w:rPr>
        <w:t>,</w:t>
      </w:r>
      <w:r w:rsidR="003C6FEA">
        <w:rPr>
          <w:rFonts w:ascii="Arial" w:hAnsi="Arial" w:cs="Arial"/>
          <w:szCs w:val="22"/>
          <w:lang w:val="es-MX"/>
        </w:rPr>
        <w:t xml:space="preserve"> busca garantizar que nuestros procesos se encuentren libres de cualquier tipo de influencia que pudiera interferir con las decisiones de cada uno de los Comités.</w:t>
      </w:r>
    </w:p>
    <w:p w:rsidR="00403844" w:rsidRDefault="003C6FEA" w:rsidP="003F7605">
      <w:pPr>
        <w:ind w:left="678"/>
        <w:jc w:val="both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szCs w:val="22"/>
          <w:lang w:val="es-MX"/>
        </w:rPr>
        <w:lastRenderedPageBreak/>
        <w:t xml:space="preserve">Una vez </w:t>
      </w:r>
      <w:r w:rsidR="004F065F">
        <w:rPr>
          <w:rFonts w:ascii="Arial" w:hAnsi="Arial" w:cs="Arial"/>
          <w:szCs w:val="22"/>
          <w:lang w:val="es-MX"/>
        </w:rPr>
        <w:t xml:space="preserve">que la situación es </w:t>
      </w:r>
      <w:r>
        <w:rPr>
          <w:rFonts w:ascii="Arial" w:hAnsi="Arial" w:cs="Arial"/>
          <w:szCs w:val="22"/>
          <w:lang w:val="es-MX"/>
        </w:rPr>
        <w:t>identificada, será analizada para determinar si hubo dolo o mala intención para de esta forma tomar alguna de las siguientes decisiones.</w:t>
      </w:r>
    </w:p>
    <w:p w:rsidR="003C6FEA" w:rsidRDefault="003C6FEA" w:rsidP="003F7605">
      <w:pPr>
        <w:ind w:left="678"/>
        <w:jc w:val="both"/>
        <w:rPr>
          <w:rFonts w:ascii="Arial" w:hAnsi="Arial" w:cs="Arial"/>
          <w:szCs w:val="22"/>
          <w:lang w:val="es-MX"/>
        </w:rPr>
      </w:pPr>
    </w:p>
    <w:p w:rsidR="003C6FEA" w:rsidRDefault="003C6FEA" w:rsidP="003F7605">
      <w:pPr>
        <w:ind w:left="678"/>
        <w:jc w:val="both"/>
        <w:rPr>
          <w:rFonts w:ascii="Arial" w:hAnsi="Arial" w:cs="Arial"/>
          <w:szCs w:val="22"/>
          <w:lang w:val="es-MX"/>
        </w:rPr>
      </w:pPr>
      <w:r w:rsidRPr="003C6FEA">
        <w:rPr>
          <w:rFonts w:ascii="Arial" w:hAnsi="Arial" w:cs="Arial"/>
          <w:b/>
          <w:szCs w:val="22"/>
          <w:lang w:val="es-MX"/>
        </w:rPr>
        <w:t>1.3.1. Suspensión del Estudio:</w:t>
      </w:r>
      <w:r w:rsidR="002D420E">
        <w:rPr>
          <w:rFonts w:ascii="Arial" w:hAnsi="Arial" w:cs="Arial"/>
          <w:b/>
          <w:szCs w:val="22"/>
          <w:lang w:val="es-MX"/>
        </w:rPr>
        <w:t xml:space="preserve"> </w:t>
      </w:r>
      <w:r>
        <w:rPr>
          <w:rFonts w:ascii="Arial" w:hAnsi="Arial" w:cs="Arial"/>
          <w:szCs w:val="22"/>
          <w:lang w:val="es-MX"/>
        </w:rPr>
        <w:t>Cuando se determina que hubo mala intención</w:t>
      </w:r>
      <w:r w:rsidR="00BF18C2">
        <w:rPr>
          <w:rFonts w:ascii="Arial" w:hAnsi="Arial" w:cs="Arial"/>
          <w:szCs w:val="22"/>
          <w:lang w:val="es-MX"/>
        </w:rPr>
        <w:t>, dolo o algún grado</w:t>
      </w:r>
      <w:r w:rsidR="002D420E">
        <w:rPr>
          <w:rFonts w:ascii="Arial" w:hAnsi="Arial" w:cs="Arial"/>
          <w:szCs w:val="22"/>
          <w:lang w:val="es-MX"/>
        </w:rPr>
        <w:t xml:space="preserve"> de éste</w:t>
      </w:r>
      <w:r w:rsidR="00BF18C2">
        <w:rPr>
          <w:rFonts w:ascii="Arial" w:hAnsi="Arial" w:cs="Arial"/>
          <w:szCs w:val="22"/>
          <w:lang w:val="es-MX"/>
        </w:rPr>
        <w:t xml:space="preserve"> que pudiera afectar los derechos y bienestar de los pacientes, se suspenderá el estudio.</w:t>
      </w:r>
    </w:p>
    <w:p w:rsidR="00BF18C2" w:rsidRPr="00BF18C2" w:rsidRDefault="00BF18C2" w:rsidP="003F7605">
      <w:pPr>
        <w:ind w:left="678"/>
        <w:jc w:val="both"/>
        <w:rPr>
          <w:rFonts w:ascii="Arial" w:hAnsi="Arial" w:cs="Arial"/>
          <w:szCs w:val="22"/>
          <w:lang w:val="es-MX"/>
        </w:rPr>
      </w:pPr>
      <w:r w:rsidRPr="00BF18C2">
        <w:rPr>
          <w:rFonts w:ascii="Arial" w:hAnsi="Arial" w:cs="Arial"/>
          <w:b/>
          <w:szCs w:val="22"/>
          <w:lang w:val="es-MX"/>
        </w:rPr>
        <w:t xml:space="preserve">1.3.2. Aprobación del Estudio </w:t>
      </w:r>
      <w:r w:rsidR="002D420E">
        <w:rPr>
          <w:rFonts w:ascii="Arial" w:hAnsi="Arial" w:cs="Arial"/>
          <w:b/>
          <w:szCs w:val="22"/>
          <w:lang w:val="es-MX"/>
        </w:rPr>
        <w:t>C</w:t>
      </w:r>
      <w:r w:rsidRPr="00BF18C2">
        <w:rPr>
          <w:rFonts w:ascii="Arial" w:hAnsi="Arial" w:cs="Arial"/>
          <w:b/>
          <w:szCs w:val="22"/>
          <w:lang w:val="es-MX"/>
        </w:rPr>
        <w:t>ondicionado:</w:t>
      </w:r>
      <w:r w:rsidR="002D420E">
        <w:rPr>
          <w:rFonts w:ascii="Arial" w:hAnsi="Arial" w:cs="Arial"/>
          <w:b/>
          <w:szCs w:val="22"/>
          <w:lang w:val="es-MX"/>
        </w:rPr>
        <w:t xml:space="preserve"> </w:t>
      </w:r>
      <w:r>
        <w:rPr>
          <w:rFonts w:ascii="Arial" w:hAnsi="Arial" w:cs="Arial"/>
          <w:szCs w:val="22"/>
          <w:lang w:val="es-MX"/>
        </w:rPr>
        <w:t>D</w:t>
      </w:r>
      <w:r w:rsidR="002D420E">
        <w:rPr>
          <w:rFonts w:ascii="Arial" w:hAnsi="Arial" w:cs="Arial"/>
          <w:szCs w:val="22"/>
          <w:lang w:val="es-MX"/>
        </w:rPr>
        <w:t>ebido a l</w:t>
      </w:r>
      <w:r>
        <w:rPr>
          <w:rFonts w:ascii="Arial" w:hAnsi="Arial" w:cs="Arial"/>
          <w:szCs w:val="22"/>
          <w:lang w:val="es-MX"/>
        </w:rPr>
        <w:t>a falta de argumentos que sustenten el grado de influencia</w:t>
      </w:r>
      <w:r w:rsidR="002D420E">
        <w:rPr>
          <w:rFonts w:ascii="Arial" w:hAnsi="Arial" w:cs="Arial"/>
          <w:szCs w:val="22"/>
          <w:lang w:val="es-MX"/>
        </w:rPr>
        <w:t>,</w:t>
      </w:r>
      <w:r>
        <w:rPr>
          <w:rFonts w:ascii="Arial" w:hAnsi="Arial" w:cs="Arial"/>
          <w:szCs w:val="22"/>
          <w:lang w:val="es-MX"/>
        </w:rPr>
        <w:t xml:space="preserve"> el estudio será aprobado condicionado a </w:t>
      </w:r>
      <w:r w:rsidR="007D0AB2">
        <w:rPr>
          <w:rFonts w:ascii="Arial" w:hAnsi="Arial" w:cs="Arial"/>
          <w:szCs w:val="22"/>
          <w:lang w:val="es-MX"/>
        </w:rPr>
        <w:t xml:space="preserve">supervisiones </w:t>
      </w:r>
      <w:r>
        <w:rPr>
          <w:rFonts w:ascii="Arial" w:hAnsi="Arial" w:cs="Arial"/>
          <w:szCs w:val="22"/>
          <w:lang w:val="es-MX"/>
        </w:rPr>
        <w:t>semestrales para evaluar el correcto seguimiento del estudio.</w:t>
      </w:r>
    </w:p>
    <w:p w:rsidR="00BF18C2" w:rsidRPr="00BF18C2" w:rsidRDefault="00BF18C2" w:rsidP="003F7605">
      <w:pPr>
        <w:ind w:left="678"/>
        <w:jc w:val="both"/>
        <w:rPr>
          <w:rFonts w:ascii="Arial" w:hAnsi="Arial" w:cs="Arial"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t xml:space="preserve">1.3.3. Aprobación. </w:t>
      </w:r>
      <w:r>
        <w:rPr>
          <w:rFonts w:ascii="Arial" w:hAnsi="Arial" w:cs="Arial"/>
          <w:szCs w:val="22"/>
          <w:lang w:val="es-MX"/>
        </w:rPr>
        <w:t>No existe ningún tipo de dolo o mala intención de la acción.</w:t>
      </w:r>
    </w:p>
    <w:p w:rsidR="003C6FEA" w:rsidRDefault="003C6FEA" w:rsidP="003F7605">
      <w:pPr>
        <w:ind w:left="678"/>
        <w:jc w:val="both"/>
        <w:rPr>
          <w:rFonts w:ascii="Arial" w:hAnsi="Arial" w:cs="Arial"/>
          <w:szCs w:val="22"/>
          <w:lang w:val="es-MX"/>
        </w:rPr>
      </w:pPr>
    </w:p>
    <w:p w:rsidR="002D420E" w:rsidRDefault="00403844" w:rsidP="003F7605">
      <w:pPr>
        <w:ind w:left="678"/>
        <w:jc w:val="both"/>
        <w:rPr>
          <w:rFonts w:ascii="Arial" w:hAnsi="Arial" w:cs="Arial"/>
          <w:szCs w:val="22"/>
          <w:lang w:val="es-MX"/>
        </w:rPr>
      </w:pPr>
      <w:r w:rsidRPr="00403844">
        <w:rPr>
          <w:rFonts w:ascii="Arial" w:hAnsi="Arial" w:cs="Arial"/>
          <w:b/>
          <w:lang w:val="es-MX"/>
        </w:rPr>
        <w:t>1.4. Conflicto de Regulaciones:</w:t>
      </w:r>
      <w:r w:rsidR="002D420E" w:rsidRPr="00F77642">
        <w:rPr>
          <w:rFonts w:ascii="Arial" w:hAnsi="Arial" w:cs="Arial"/>
          <w:lang w:val="es-MX"/>
        </w:rPr>
        <w:t xml:space="preserve"> </w:t>
      </w:r>
      <w:r w:rsidR="002D420E" w:rsidRPr="00F84493">
        <w:rPr>
          <w:rFonts w:ascii="Arial" w:eastAsiaTheme="minorHAnsi" w:hAnsi="Arial" w:cs="Arial"/>
          <w:color w:val="1A1A1A"/>
          <w:lang w:eastAsia="en-US"/>
        </w:rPr>
        <w:t xml:space="preserve">La </w:t>
      </w:r>
      <w:r w:rsidR="002D420E">
        <w:rPr>
          <w:rFonts w:ascii="Arial" w:eastAsiaTheme="minorHAnsi" w:hAnsi="Arial" w:cs="Arial"/>
          <w:color w:val="1A1A1A"/>
          <w:lang w:eastAsia="en-US"/>
        </w:rPr>
        <w:t>i</w:t>
      </w:r>
      <w:r w:rsidR="002D420E" w:rsidRPr="00F84493">
        <w:rPr>
          <w:rFonts w:ascii="Arial" w:eastAsiaTheme="minorHAnsi" w:hAnsi="Arial" w:cs="Arial"/>
          <w:color w:val="1A1A1A"/>
          <w:lang w:eastAsia="en-US"/>
        </w:rPr>
        <w:t>nstitución reconoce que la legislación mexicana aplicable para la protección de s</w:t>
      </w:r>
      <w:r w:rsidR="002D420E">
        <w:rPr>
          <w:rFonts w:ascii="Arial" w:eastAsiaTheme="minorHAnsi" w:hAnsi="Arial" w:cs="Arial"/>
          <w:color w:val="1A1A1A"/>
          <w:lang w:eastAsia="en-US"/>
        </w:rPr>
        <w:t>ujetos</w:t>
      </w:r>
      <w:r w:rsidR="002D420E" w:rsidRPr="00F84493">
        <w:rPr>
          <w:rFonts w:ascii="Arial" w:eastAsiaTheme="minorHAnsi" w:hAnsi="Arial" w:cs="Arial"/>
          <w:color w:val="1A1A1A"/>
          <w:lang w:eastAsia="en-US"/>
        </w:rPr>
        <w:t xml:space="preserve"> humanos de investigación clínica no contiene regulaciones que se contrapongan explícitamente con las normas internacionales o nacionales de otros países en </w:t>
      </w:r>
      <w:r w:rsidR="002D420E">
        <w:rPr>
          <w:rFonts w:ascii="Arial" w:eastAsiaTheme="minorHAnsi" w:hAnsi="Arial" w:cs="Arial"/>
          <w:color w:val="1A1A1A"/>
          <w:lang w:eastAsia="en-US"/>
        </w:rPr>
        <w:t>esta</w:t>
      </w:r>
      <w:r w:rsidR="002D420E" w:rsidRPr="00F84493">
        <w:rPr>
          <w:rFonts w:ascii="Arial" w:eastAsiaTheme="minorHAnsi" w:hAnsi="Arial" w:cs="Arial"/>
          <w:color w:val="1A1A1A"/>
          <w:lang w:eastAsia="en-US"/>
        </w:rPr>
        <w:t xml:space="preserve"> </w:t>
      </w:r>
      <w:r w:rsidR="002D420E">
        <w:rPr>
          <w:rFonts w:ascii="Arial" w:eastAsiaTheme="minorHAnsi" w:hAnsi="Arial" w:cs="Arial"/>
          <w:color w:val="1A1A1A"/>
          <w:lang w:eastAsia="en-US"/>
        </w:rPr>
        <w:t>área</w:t>
      </w:r>
      <w:r w:rsidR="002D420E" w:rsidRPr="00F84493">
        <w:rPr>
          <w:rFonts w:ascii="Arial" w:eastAsiaTheme="minorHAnsi" w:hAnsi="Arial" w:cs="Arial"/>
          <w:color w:val="1A1A1A"/>
          <w:lang w:eastAsia="en-US"/>
        </w:rPr>
        <w:t>, no obstante</w:t>
      </w:r>
      <w:r w:rsidR="002D420E" w:rsidRPr="00F77642">
        <w:rPr>
          <w:rFonts w:ascii="Arial" w:eastAsiaTheme="minorHAnsi" w:hAnsi="Arial" w:cs="Arial"/>
          <w:color w:val="1A1A1A"/>
          <w:lang w:eastAsia="en-US"/>
        </w:rPr>
        <w:t xml:space="preserve">, en un caso de conflicto de </w:t>
      </w:r>
      <w:r w:rsidR="002D420E">
        <w:rPr>
          <w:rFonts w:ascii="Arial" w:eastAsiaTheme="minorHAnsi" w:hAnsi="Arial" w:cs="Arial"/>
          <w:color w:val="1A1A1A"/>
          <w:lang w:eastAsia="en-US"/>
        </w:rPr>
        <w:t>l</w:t>
      </w:r>
      <w:r w:rsidR="002D420E" w:rsidRPr="00F84493">
        <w:rPr>
          <w:rFonts w:ascii="Arial" w:eastAsiaTheme="minorHAnsi" w:hAnsi="Arial" w:cs="Arial"/>
          <w:color w:val="1A1A1A"/>
          <w:lang w:eastAsia="en-US"/>
        </w:rPr>
        <w:t xml:space="preserve">eyes la </w:t>
      </w:r>
      <w:r w:rsidR="002D420E">
        <w:rPr>
          <w:rFonts w:ascii="Arial" w:eastAsiaTheme="minorHAnsi" w:hAnsi="Arial" w:cs="Arial"/>
          <w:color w:val="1A1A1A"/>
          <w:lang w:eastAsia="en-US"/>
        </w:rPr>
        <w:t>i</w:t>
      </w:r>
      <w:r w:rsidR="002D420E" w:rsidRPr="00F84493">
        <w:rPr>
          <w:rFonts w:ascii="Arial" w:eastAsiaTheme="minorHAnsi" w:hAnsi="Arial" w:cs="Arial"/>
          <w:color w:val="1A1A1A"/>
          <w:lang w:eastAsia="en-US"/>
        </w:rPr>
        <w:t>nstitución aplica el siguiente criterio:</w:t>
      </w:r>
    </w:p>
    <w:p w:rsidR="002D420E" w:rsidRDefault="002D420E" w:rsidP="003F7605">
      <w:pPr>
        <w:ind w:left="678"/>
        <w:jc w:val="both"/>
        <w:rPr>
          <w:rFonts w:ascii="Arial" w:hAnsi="Arial" w:cs="Arial"/>
          <w:szCs w:val="22"/>
          <w:lang w:val="es-MX"/>
        </w:rPr>
      </w:pPr>
    </w:p>
    <w:p w:rsidR="00403844" w:rsidRDefault="002D420E" w:rsidP="003F7605">
      <w:pPr>
        <w:ind w:left="678"/>
        <w:jc w:val="both"/>
        <w:rPr>
          <w:rFonts w:ascii="Arial" w:hAnsi="Arial" w:cs="Arial"/>
          <w:szCs w:val="22"/>
          <w:lang w:val="es-MX"/>
        </w:rPr>
      </w:pPr>
      <w:r w:rsidRPr="00F84493">
        <w:rPr>
          <w:rFonts w:ascii="Arial" w:eastAsiaTheme="minorHAnsi" w:hAnsi="Arial" w:cs="Arial"/>
          <w:color w:val="1A1A1A"/>
          <w:lang w:eastAsia="en-US"/>
        </w:rPr>
        <w:t xml:space="preserve">Dado que la </w:t>
      </w:r>
      <w:r>
        <w:rPr>
          <w:rFonts w:ascii="Arial" w:eastAsiaTheme="minorHAnsi" w:hAnsi="Arial" w:cs="Arial"/>
          <w:color w:val="1A1A1A"/>
          <w:lang w:eastAsia="en-US"/>
        </w:rPr>
        <w:t>i</w:t>
      </w:r>
      <w:r w:rsidRPr="00F84493">
        <w:rPr>
          <w:rFonts w:ascii="Arial" w:eastAsiaTheme="minorHAnsi" w:hAnsi="Arial" w:cs="Arial"/>
          <w:color w:val="1A1A1A"/>
          <w:lang w:eastAsia="en-US"/>
        </w:rPr>
        <w:t>nstitución tiene como política aplicar a todas sus prácticas y procesos la legislación internacional con el mayor alcance de requisitos</w:t>
      </w:r>
      <w:r>
        <w:rPr>
          <w:rFonts w:ascii="Arial" w:eastAsiaTheme="minorHAnsi" w:hAnsi="Arial" w:cs="Arial"/>
          <w:color w:val="1A1A1A"/>
          <w:lang w:eastAsia="en-US"/>
        </w:rPr>
        <w:t xml:space="preserve"> siempre y</w:t>
      </w:r>
      <w:r w:rsidRPr="00F84493">
        <w:rPr>
          <w:rFonts w:ascii="Arial" w:eastAsiaTheme="minorHAnsi" w:hAnsi="Arial" w:cs="Arial"/>
          <w:color w:val="1A1A1A"/>
          <w:lang w:eastAsia="en-US"/>
        </w:rPr>
        <w:t xml:space="preserve"> cuando</w:t>
      </w:r>
      <w:r>
        <w:rPr>
          <w:rFonts w:ascii="Arial" w:eastAsiaTheme="minorHAnsi" w:hAnsi="Arial" w:cs="Arial"/>
          <w:color w:val="1A1A1A"/>
          <w:lang w:eastAsia="en-US"/>
        </w:rPr>
        <w:t xml:space="preserve"> </w:t>
      </w:r>
      <w:r w:rsidRPr="00F84493">
        <w:rPr>
          <w:rFonts w:ascii="Arial" w:eastAsiaTheme="minorHAnsi" w:hAnsi="Arial" w:cs="Arial"/>
          <w:color w:val="1A1A1A"/>
          <w:lang w:eastAsia="en-US"/>
        </w:rPr>
        <w:t xml:space="preserve">no se contraponga con una norma nacional, la </w:t>
      </w:r>
      <w:r>
        <w:rPr>
          <w:rFonts w:ascii="Arial" w:eastAsiaTheme="minorHAnsi" w:hAnsi="Arial" w:cs="Arial"/>
          <w:color w:val="1A1A1A"/>
          <w:lang w:eastAsia="en-US"/>
        </w:rPr>
        <w:t>i</w:t>
      </w:r>
      <w:r w:rsidRPr="00F84493">
        <w:rPr>
          <w:rFonts w:ascii="Arial" w:eastAsiaTheme="minorHAnsi" w:hAnsi="Arial" w:cs="Arial"/>
          <w:color w:val="1A1A1A"/>
          <w:lang w:eastAsia="en-US"/>
        </w:rPr>
        <w:t xml:space="preserve">nstitución superpone la legislación que tienda </w:t>
      </w:r>
      <w:r>
        <w:rPr>
          <w:rFonts w:ascii="Arial" w:eastAsiaTheme="minorHAnsi" w:hAnsi="Arial" w:cs="Arial"/>
          <w:color w:val="1A1A1A"/>
          <w:lang w:eastAsia="en-US"/>
        </w:rPr>
        <w:t xml:space="preserve">más </w:t>
      </w:r>
      <w:r w:rsidRPr="00F84493">
        <w:rPr>
          <w:rFonts w:ascii="Arial" w:eastAsiaTheme="minorHAnsi" w:hAnsi="Arial" w:cs="Arial"/>
          <w:color w:val="1A1A1A"/>
          <w:lang w:eastAsia="en-US"/>
        </w:rPr>
        <w:t xml:space="preserve">a proteger al sujeto de investigación, a criterio del Investigador, la </w:t>
      </w:r>
      <w:r>
        <w:rPr>
          <w:rFonts w:ascii="Arial" w:eastAsiaTheme="minorHAnsi" w:hAnsi="Arial" w:cs="Arial"/>
          <w:color w:val="1A1A1A"/>
          <w:lang w:eastAsia="en-US"/>
        </w:rPr>
        <w:t>i</w:t>
      </w:r>
      <w:r w:rsidRPr="00F84493">
        <w:rPr>
          <w:rFonts w:ascii="Arial" w:eastAsiaTheme="minorHAnsi" w:hAnsi="Arial" w:cs="Arial"/>
          <w:color w:val="1A1A1A"/>
          <w:lang w:eastAsia="en-US"/>
        </w:rPr>
        <w:t>nstitución y el Comité</w:t>
      </w:r>
      <w:r w:rsidRPr="00F77642">
        <w:rPr>
          <w:rFonts w:ascii="Arial" w:eastAsiaTheme="minorHAnsi" w:hAnsi="Arial" w:cs="Arial"/>
          <w:color w:val="1A1A1A"/>
          <w:lang w:eastAsia="en-US"/>
        </w:rPr>
        <w:t>.</w:t>
      </w:r>
    </w:p>
    <w:p w:rsidR="003C6FEA" w:rsidRDefault="003C6FEA" w:rsidP="003C6FEA">
      <w:pPr>
        <w:ind w:left="678"/>
        <w:rPr>
          <w:rFonts w:ascii="Arial" w:hAnsi="Arial" w:cs="Arial"/>
          <w:szCs w:val="22"/>
          <w:lang w:val="es-MX"/>
        </w:rPr>
      </w:pPr>
    </w:p>
    <w:p w:rsidR="00E67A9D" w:rsidRDefault="00E67A9D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IV. RESPONSABILIDADES</w:t>
      </w:r>
    </w:p>
    <w:p w:rsidR="001B213D" w:rsidRDefault="001B213D" w:rsidP="00DB53D2">
      <w:pPr>
        <w:jc w:val="both"/>
        <w:rPr>
          <w:rFonts w:ascii="Arial" w:hAnsi="Arial" w:cs="Arial"/>
          <w:b/>
        </w:rPr>
      </w:pPr>
    </w:p>
    <w:p w:rsidR="00DA0186" w:rsidRDefault="00DA0186" w:rsidP="00DA0186">
      <w:pPr>
        <w:pStyle w:val="level1bodystyle"/>
        <w:jc w:val="both"/>
        <w:rPr>
          <w:lang w:val="es-MX"/>
        </w:rPr>
      </w:pPr>
      <w:r>
        <w:rPr>
          <w:snapToGrid w:val="0"/>
          <w:lang w:val="es-MX"/>
        </w:rPr>
        <w:t xml:space="preserve">El Director de la </w:t>
      </w:r>
      <w:r w:rsidR="002D420E">
        <w:rPr>
          <w:snapToGrid w:val="0"/>
          <w:lang w:val="es-MX"/>
        </w:rPr>
        <w:t>i</w:t>
      </w:r>
      <w:r>
        <w:rPr>
          <w:snapToGrid w:val="0"/>
          <w:lang w:val="es-MX"/>
        </w:rPr>
        <w:t xml:space="preserve">nstitución es el responsable de establecer </w:t>
      </w:r>
      <w:r w:rsidR="002A7D71">
        <w:rPr>
          <w:snapToGrid w:val="0"/>
          <w:lang w:val="es-MX"/>
        </w:rPr>
        <w:t xml:space="preserve">el mecanismo de independencia del Programa incluyendo </w:t>
      </w:r>
      <w:r w:rsidR="00973222">
        <w:rPr>
          <w:snapToGrid w:val="0"/>
          <w:lang w:val="es-MX"/>
        </w:rPr>
        <w:t>l</w:t>
      </w:r>
      <w:r w:rsidR="002A7D71">
        <w:rPr>
          <w:snapToGrid w:val="0"/>
          <w:lang w:val="es-MX"/>
        </w:rPr>
        <w:t>a libre decisión sin ningún tipo de coerción, influencia o presión por parte de algún interesado.</w:t>
      </w:r>
    </w:p>
    <w:p w:rsidR="00DA0186" w:rsidRDefault="00973222" w:rsidP="00DA0186">
      <w:pPr>
        <w:pStyle w:val="level1bodystyle"/>
        <w:jc w:val="both"/>
        <w:rPr>
          <w:lang w:val="es-MX"/>
        </w:rPr>
      </w:pPr>
      <w:r>
        <w:rPr>
          <w:snapToGrid w:val="0"/>
          <w:lang w:val="es-MX"/>
        </w:rPr>
        <w:t xml:space="preserve">El Secretario </w:t>
      </w:r>
      <w:r w:rsidR="002A7D71">
        <w:rPr>
          <w:snapToGrid w:val="0"/>
          <w:lang w:val="es-MX"/>
        </w:rPr>
        <w:t>de Investigación Clínica</w:t>
      </w:r>
      <w:r>
        <w:rPr>
          <w:snapToGrid w:val="0"/>
          <w:lang w:val="es-MX"/>
        </w:rPr>
        <w:t>,</w:t>
      </w:r>
      <w:r w:rsidR="002A7D71">
        <w:rPr>
          <w:snapToGrid w:val="0"/>
          <w:lang w:val="es-MX"/>
        </w:rPr>
        <w:t xml:space="preserve"> a través de la Subdirección de Investigación</w:t>
      </w:r>
      <w:r>
        <w:rPr>
          <w:snapToGrid w:val="0"/>
          <w:lang w:val="es-MX"/>
        </w:rPr>
        <w:t>,</w:t>
      </w:r>
      <w:r w:rsidR="002A7D71">
        <w:rPr>
          <w:snapToGrid w:val="0"/>
          <w:lang w:val="es-MX"/>
        </w:rPr>
        <w:t xml:space="preserve"> </w:t>
      </w:r>
      <w:r>
        <w:rPr>
          <w:snapToGrid w:val="0"/>
          <w:lang w:val="es-MX"/>
        </w:rPr>
        <w:t>tiene</w:t>
      </w:r>
      <w:r w:rsidR="002A7D71">
        <w:rPr>
          <w:snapToGrid w:val="0"/>
          <w:lang w:val="es-MX"/>
        </w:rPr>
        <w:t xml:space="preserve"> </w:t>
      </w:r>
      <w:r>
        <w:rPr>
          <w:snapToGrid w:val="0"/>
          <w:lang w:val="es-MX"/>
        </w:rPr>
        <w:t xml:space="preserve">la </w:t>
      </w:r>
      <w:r w:rsidR="002A7D71">
        <w:rPr>
          <w:snapToGrid w:val="0"/>
          <w:lang w:val="es-MX"/>
        </w:rPr>
        <w:t xml:space="preserve">autoridad para vigilar, monitorizar y asegurar que todos </w:t>
      </w:r>
      <w:r>
        <w:rPr>
          <w:snapToGrid w:val="0"/>
          <w:lang w:val="es-MX"/>
        </w:rPr>
        <w:t>l</w:t>
      </w:r>
      <w:r w:rsidR="002A7D71">
        <w:rPr>
          <w:snapToGrid w:val="0"/>
          <w:lang w:val="es-MX"/>
        </w:rPr>
        <w:t>os procesos se encuentren libres de coerción, presión o influencia.</w:t>
      </w:r>
    </w:p>
    <w:p w:rsidR="00B50A97" w:rsidRDefault="002A7D71" w:rsidP="00DA0186">
      <w:pPr>
        <w:pStyle w:val="level1bodystyle"/>
        <w:jc w:val="both"/>
        <w:rPr>
          <w:snapToGrid w:val="0"/>
          <w:lang w:val="es-MX"/>
        </w:rPr>
      </w:pPr>
      <w:r>
        <w:rPr>
          <w:snapToGrid w:val="0"/>
          <w:lang w:val="es-MX"/>
        </w:rPr>
        <w:t xml:space="preserve">Los miembros del programa, incluyendo personal administrativo </w:t>
      </w:r>
      <w:r w:rsidR="00973222">
        <w:rPr>
          <w:snapToGrid w:val="0"/>
          <w:lang w:val="es-MX"/>
        </w:rPr>
        <w:t xml:space="preserve">y </w:t>
      </w:r>
      <w:r>
        <w:rPr>
          <w:snapToGrid w:val="0"/>
          <w:lang w:val="es-MX"/>
        </w:rPr>
        <w:t>miembros de</w:t>
      </w:r>
      <w:r w:rsidR="00973222">
        <w:rPr>
          <w:snapToGrid w:val="0"/>
          <w:lang w:val="es-MX"/>
        </w:rPr>
        <w:t>l</w:t>
      </w:r>
      <w:r>
        <w:rPr>
          <w:snapToGrid w:val="0"/>
          <w:lang w:val="es-MX"/>
        </w:rPr>
        <w:t xml:space="preserve"> Comité,</w:t>
      </w:r>
      <w:r w:rsidR="00973222">
        <w:rPr>
          <w:snapToGrid w:val="0"/>
          <w:lang w:val="es-MX"/>
        </w:rPr>
        <w:t xml:space="preserve"> </w:t>
      </w:r>
      <w:r>
        <w:rPr>
          <w:snapToGrid w:val="0"/>
          <w:lang w:val="es-MX"/>
        </w:rPr>
        <w:t>tienen la obligación de reportar cualquier tipo de influencia o coerción a través del Secretario de Investigación Clinica.</w:t>
      </w:r>
    </w:p>
    <w:p w:rsidR="001F2495" w:rsidRDefault="001F2495" w:rsidP="00DA0186">
      <w:pPr>
        <w:pStyle w:val="level1bodystyle"/>
        <w:jc w:val="both"/>
        <w:rPr>
          <w:snapToGrid w:val="0"/>
          <w:lang w:val="es-MX"/>
        </w:rPr>
      </w:pPr>
    </w:p>
    <w:p w:rsidR="001F2495" w:rsidRDefault="001F2495" w:rsidP="001F249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V. DEFINICIONES</w:t>
      </w:r>
    </w:p>
    <w:p w:rsidR="001F2495" w:rsidRDefault="001F2495" w:rsidP="001F2495">
      <w:pPr>
        <w:jc w:val="both"/>
        <w:rPr>
          <w:rFonts w:ascii="Arial" w:hAnsi="Arial" w:cs="Arial"/>
          <w:b/>
        </w:rPr>
      </w:pPr>
    </w:p>
    <w:p w:rsidR="001F2495" w:rsidRPr="00405FB1" w:rsidRDefault="001F2495" w:rsidP="001F249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405FB1">
        <w:rPr>
          <w:rFonts w:ascii="Arial" w:hAnsi="Arial" w:cs="Arial"/>
          <w:color w:val="000000"/>
        </w:rPr>
        <w:t xml:space="preserve">Representante legalmente autorizado: </w:t>
      </w:r>
      <w:r>
        <w:rPr>
          <w:rFonts w:ascii="Arial" w:hAnsi="Arial" w:cs="Arial"/>
          <w:color w:val="000000"/>
        </w:rPr>
        <w:t xml:space="preserve">De acuerdo a las regulaciones vigentes en </w:t>
      </w:r>
      <w:r w:rsidR="00973222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nvestigación de la DHHS y de la FDA  </w:t>
      </w:r>
      <w:r w:rsidR="00973222">
        <w:rPr>
          <w:rFonts w:ascii="Arial" w:hAnsi="Arial" w:cs="Arial"/>
          <w:color w:val="000000"/>
        </w:rPr>
        <w:t>[</w:t>
      </w:r>
      <w:r>
        <w:rPr>
          <w:rFonts w:ascii="Arial" w:eastAsiaTheme="minorHAnsi" w:hAnsi="Arial" w:cs="Arial"/>
          <w:color w:val="000000"/>
          <w:sz w:val="21"/>
          <w:szCs w:val="21"/>
          <w:lang w:eastAsia="en-US"/>
        </w:rPr>
        <w:t>45 CFR 46.102(c) y 21 CFR 50.3</w:t>
      </w:r>
      <w:r w:rsidR="00973222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1"/>
          <w:szCs w:val="21"/>
          <w:lang w:eastAsia="en-US"/>
        </w:rPr>
        <w:t>(l)</w:t>
      </w:r>
      <w:r w:rsidR="00973222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],</w:t>
      </w:r>
      <w:r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este se define como un individuo</w:t>
      </w:r>
      <w:r w:rsidR="00973222"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o</w:t>
      </w:r>
      <w:r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cuerpo judicial autorizad</w:t>
      </w:r>
      <w:r w:rsidR="00973222">
        <w:rPr>
          <w:rFonts w:ascii="Arial" w:eastAsiaTheme="minorHAnsi" w:hAnsi="Arial" w:cs="Arial"/>
          <w:color w:val="000000"/>
          <w:sz w:val="21"/>
          <w:szCs w:val="21"/>
          <w:lang w:eastAsia="en-US"/>
        </w:rPr>
        <w:t>o</w:t>
      </w:r>
      <w:r>
        <w:rPr>
          <w:rFonts w:ascii="Arial" w:eastAsiaTheme="minorHAnsi" w:hAnsi="Arial" w:cs="Arial"/>
          <w:color w:val="000000"/>
          <w:sz w:val="21"/>
          <w:szCs w:val="21"/>
          <w:lang w:eastAsia="en-US"/>
        </w:rPr>
        <w:t xml:space="preserve"> bajo las leyes vigentes para consentir en nombre del sujeto candidato a ser sujeto de investigación. </w:t>
      </w:r>
    </w:p>
    <w:p w:rsidR="001F2495" w:rsidRPr="00405FB1" w:rsidRDefault="001F2495" w:rsidP="001F249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Niños</w:t>
      </w:r>
      <w:r w:rsidR="00973222">
        <w:rPr>
          <w:rFonts w:ascii="Arial" w:hAnsi="Arial" w:cs="Arial"/>
          <w:color w:val="000000"/>
        </w:rPr>
        <w:t>: S</w:t>
      </w:r>
      <w:r w:rsidRPr="001F2495">
        <w:rPr>
          <w:rFonts w:ascii="Arial" w:hAnsi="Arial" w:cs="Arial"/>
          <w:color w:val="000000"/>
        </w:rPr>
        <w:t xml:space="preserve">on personas que </w:t>
      </w:r>
      <w:r w:rsidR="00973222">
        <w:rPr>
          <w:rFonts w:ascii="Arial" w:hAnsi="Arial" w:cs="Arial"/>
          <w:color w:val="000000"/>
        </w:rPr>
        <w:t>bajo</w:t>
      </w:r>
      <w:r w:rsidR="00973222" w:rsidRPr="001F2495">
        <w:rPr>
          <w:rFonts w:ascii="Arial" w:hAnsi="Arial" w:cs="Arial"/>
          <w:color w:val="000000"/>
        </w:rPr>
        <w:t xml:space="preserve"> la legislación aplicable </w:t>
      </w:r>
      <w:r w:rsidR="00973222">
        <w:rPr>
          <w:rFonts w:ascii="Arial" w:hAnsi="Arial" w:cs="Arial"/>
          <w:color w:val="000000"/>
        </w:rPr>
        <w:t xml:space="preserve">de la jurisdicción en la cual se va a llevar a cabo la investigación, </w:t>
      </w:r>
      <w:r w:rsidRPr="001F2495">
        <w:rPr>
          <w:rFonts w:ascii="Arial" w:hAnsi="Arial" w:cs="Arial"/>
          <w:color w:val="000000"/>
        </w:rPr>
        <w:t xml:space="preserve">no han alcanzado la edad legal </w:t>
      </w:r>
      <w:r w:rsidR="00973222">
        <w:rPr>
          <w:rFonts w:ascii="Arial" w:hAnsi="Arial" w:cs="Arial"/>
          <w:color w:val="000000"/>
        </w:rPr>
        <w:t xml:space="preserve">para dar su </w:t>
      </w:r>
      <w:r w:rsidRPr="001F2495">
        <w:rPr>
          <w:rFonts w:ascii="Arial" w:hAnsi="Arial" w:cs="Arial"/>
          <w:color w:val="000000"/>
        </w:rPr>
        <w:t xml:space="preserve">consentimiento </w:t>
      </w:r>
      <w:r w:rsidR="00973222">
        <w:rPr>
          <w:rFonts w:ascii="Arial" w:hAnsi="Arial" w:cs="Arial"/>
          <w:color w:val="000000"/>
        </w:rPr>
        <w:t xml:space="preserve">para </w:t>
      </w:r>
      <w:r w:rsidRPr="001F2495">
        <w:rPr>
          <w:rFonts w:ascii="Arial" w:hAnsi="Arial" w:cs="Arial"/>
          <w:color w:val="000000"/>
        </w:rPr>
        <w:t>los tratamientos o procedimientos</w:t>
      </w:r>
      <w:r w:rsidR="00973222">
        <w:rPr>
          <w:rFonts w:ascii="Arial" w:hAnsi="Arial" w:cs="Arial"/>
          <w:color w:val="000000"/>
        </w:rPr>
        <w:t xml:space="preserve"> </w:t>
      </w:r>
      <w:r w:rsidRPr="001F2495">
        <w:rPr>
          <w:rFonts w:ascii="Arial" w:hAnsi="Arial" w:cs="Arial"/>
          <w:color w:val="000000"/>
        </w:rPr>
        <w:t>in</w:t>
      </w:r>
      <w:r w:rsidR="00973222">
        <w:rPr>
          <w:rFonts w:ascii="Arial" w:hAnsi="Arial" w:cs="Arial"/>
          <w:color w:val="000000"/>
        </w:rPr>
        <w:t>volucrados</w:t>
      </w:r>
      <w:r w:rsidRPr="001F2495">
        <w:rPr>
          <w:rFonts w:ascii="Arial" w:hAnsi="Arial" w:cs="Arial"/>
          <w:color w:val="000000"/>
        </w:rPr>
        <w:t xml:space="preserve"> en la investigación,</w:t>
      </w:r>
    </w:p>
    <w:p w:rsidR="001F2495" w:rsidRPr="00405FB1" w:rsidRDefault="001F2495" w:rsidP="001F2495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Guardianes o tutor: </w:t>
      </w:r>
      <w:r w:rsidR="00973222">
        <w:rPr>
          <w:rFonts w:ascii="Arial" w:hAnsi="Arial" w:cs="Arial"/>
          <w:color w:val="000000"/>
        </w:rPr>
        <w:t>P</w:t>
      </w:r>
      <w:r w:rsidRPr="001F2495">
        <w:rPr>
          <w:rFonts w:ascii="Arial" w:hAnsi="Arial" w:cs="Arial"/>
          <w:color w:val="000000"/>
        </w:rPr>
        <w:t>ersona autorizada por la ley aplicable</w:t>
      </w:r>
      <w:r w:rsidR="00973222">
        <w:rPr>
          <w:rFonts w:ascii="Arial" w:hAnsi="Arial" w:cs="Arial"/>
          <w:color w:val="000000"/>
        </w:rPr>
        <w:t>, estatal o local,</w:t>
      </w:r>
      <w:r w:rsidRPr="001F2495">
        <w:rPr>
          <w:rFonts w:ascii="Arial" w:hAnsi="Arial" w:cs="Arial"/>
          <w:color w:val="000000"/>
        </w:rPr>
        <w:t xml:space="preserve"> para el consentimiento en nombre de un niño </w:t>
      </w:r>
      <w:r w:rsidR="00973222">
        <w:rPr>
          <w:rFonts w:ascii="Arial" w:hAnsi="Arial" w:cs="Arial"/>
          <w:color w:val="000000"/>
        </w:rPr>
        <w:t>par</w:t>
      </w:r>
      <w:r w:rsidRPr="001F2495">
        <w:rPr>
          <w:rFonts w:ascii="Arial" w:hAnsi="Arial" w:cs="Arial"/>
          <w:color w:val="000000"/>
        </w:rPr>
        <w:t>a una atención médica general</w:t>
      </w:r>
    </w:p>
    <w:p w:rsidR="001F2495" w:rsidRDefault="001F2495" w:rsidP="001F2495">
      <w:pPr>
        <w:jc w:val="both"/>
        <w:rPr>
          <w:rFonts w:ascii="Arial" w:hAnsi="Arial" w:cs="Arial"/>
        </w:rPr>
      </w:pPr>
    </w:p>
    <w:p w:rsidR="00FE0E8E" w:rsidRPr="00FE0E8E" w:rsidRDefault="00403844" w:rsidP="00FE0E8E">
      <w:pPr>
        <w:shd w:val="clear" w:color="auto" w:fill="F5F5F5"/>
        <w:textAlignment w:val="top"/>
        <w:rPr>
          <w:rFonts w:ascii="Arial" w:hAnsi="Arial" w:cs="Arial"/>
          <w:color w:val="777777"/>
        </w:rPr>
      </w:pPr>
      <w:r w:rsidRPr="00403844">
        <w:rPr>
          <w:rStyle w:val="hps"/>
          <w:rFonts w:ascii="Arial" w:hAnsi="Arial" w:cs="Arial"/>
          <w:color w:val="222222"/>
        </w:rPr>
        <w:t>El orden</w:t>
      </w:r>
      <w:r w:rsidRPr="00403844">
        <w:rPr>
          <w:rFonts w:ascii="Arial" w:hAnsi="Arial" w:cs="Arial"/>
          <w:color w:val="222222"/>
        </w:rPr>
        <w:t xml:space="preserve"> </w:t>
      </w:r>
      <w:r w:rsidRPr="00403844">
        <w:rPr>
          <w:rStyle w:val="hps"/>
          <w:rFonts w:ascii="Arial" w:hAnsi="Arial" w:cs="Arial"/>
          <w:color w:val="222222"/>
        </w:rPr>
        <w:t>de la autoridad</w:t>
      </w:r>
      <w:r w:rsidRPr="00403844">
        <w:rPr>
          <w:rFonts w:ascii="Arial" w:hAnsi="Arial" w:cs="Arial"/>
          <w:color w:val="222222"/>
        </w:rPr>
        <w:t xml:space="preserve"> </w:t>
      </w:r>
      <w:r w:rsidRPr="00403844">
        <w:rPr>
          <w:rStyle w:val="hps"/>
          <w:rFonts w:ascii="Arial" w:hAnsi="Arial" w:cs="Arial"/>
          <w:color w:val="222222"/>
        </w:rPr>
        <w:t>para dar consentimiento</w:t>
      </w:r>
      <w:r w:rsidRPr="00403844">
        <w:rPr>
          <w:rFonts w:ascii="Arial" w:hAnsi="Arial" w:cs="Arial"/>
          <w:color w:val="222222"/>
        </w:rPr>
        <w:t xml:space="preserve"> </w:t>
      </w:r>
      <w:r w:rsidRPr="00403844">
        <w:rPr>
          <w:rStyle w:val="hps"/>
          <w:rFonts w:ascii="Arial" w:hAnsi="Arial" w:cs="Arial"/>
          <w:color w:val="222222"/>
        </w:rPr>
        <w:t>en nombre</w:t>
      </w:r>
      <w:r w:rsidRPr="00403844">
        <w:rPr>
          <w:rFonts w:ascii="Arial" w:hAnsi="Arial" w:cs="Arial"/>
          <w:color w:val="222222"/>
        </w:rPr>
        <w:t xml:space="preserve"> </w:t>
      </w:r>
      <w:r w:rsidRPr="00403844">
        <w:rPr>
          <w:rStyle w:val="hps"/>
          <w:rFonts w:ascii="Arial" w:hAnsi="Arial" w:cs="Arial"/>
          <w:color w:val="222222"/>
        </w:rPr>
        <w:t>de otro adulto</w:t>
      </w:r>
      <w:r w:rsidRPr="00403844">
        <w:rPr>
          <w:rFonts w:ascii="Arial" w:hAnsi="Arial" w:cs="Arial"/>
          <w:color w:val="222222"/>
        </w:rPr>
        <w:t xml:space="preserve"> </w:t>
      </w:r>
      <w:r w:rsidRPr="00403844">
        <w:rPr>
          <w:rStyle w:val="hps"/>
          <w:rFonts w:ascii="Arial" w:hAnsi="Arial" w:cs="Arial"/>
          <w:color w:val="222222"/>
        </w:rPr>
        <w:t>para participar en</w:t>
      </w:r>
      <w:r w:rsidRPr="00403844">
        <w:rPr>
          <w:rFonts w:ascii="Arial" w:hAnsi="Arial" w:cs="Arial"/>
          <w:color w:val="222222"/>
        </w:rPr>
        <w:t xml:space="preserve"> </w:t>
      </w:r>
      <w:r w:rsidRPr="00403844">
        <w:rPr>
          <w:rStyle w:val="hps"/>
          <w:rFonts w:ascii="Arial" w:hAnsi="Arial" w:cs="Arial"/>
          <w:color w:val="222222"/>
        </w:rPr>
        <w:t>investigación clínica</w:t>
      </w:r>
      <w:r w:rsidRPr="00403844">
        <w:rPr>
          <w:rFonts w:ascii="Arial" w:hAnsi="Arial" w:cs="Arial"/>
          <w:color w:val="222222"/>
        </w:rPr>
        <w:t xml:space="preserve"> </w:t>
      </w:r>
      <w:r w:rsidRPr="00403844">
        <w:rPr>
          <w:rStyle w:val="hps"/>
          <w:rFonts w:ascii="Arial" w:hAnsi="Arial" w:cs="Arial"/>
          <w:color w:val="222222"/>
        </w:rPr>
        <w:t>que presenta la</w:t>
      </w:r>
      <w:r w:rsidRPr="00403844">
        <w:rPr>
          <w:rFonts w:ascii="Arial" w:hAnsi="Arial" w:cs="Arial"/>
          <w:color w:val="222222"/>
        </w:rPr>
        <w:t xml:space="preserve"> </w:t>
      </w:r>
      <w:r w:rsidRPr="00403844">
        <w:rPr>
          <w:rStyle w:val="hps"/>
          <w:rFonts w:ascii="Arial" w:hAnsi="Arial" w:cs="Arial"/>
          <w:color w:val="222222"/>
        </w:rPr>
        <w:t>posibilidad de un beneficio</w:t>
      </w:r>
      <w:r w:rsidRPr="00403844">
        <w:rPr>
          <w:rFonts w:ascii="Arial" w:hAnsi="Arial" w:cs="Arial"/>
          <w:color w:val="222222"/>
        </w:rPr>
        <w:t xml:space="preserve"> </w:t>
      </w:r>
      <w:r w:rsidRPr="00403844">
        <w:rPr>
          <w:rStyle w:val="hps"/>
          <w:rFonts w:ascii="Arial" w:hAnsi="Arial" w:cs="Arial"/>
          <w:color w:val="222222"/>
        </w:rPr>
        <w:t>terapéutico al</w:t>
      </w:r>
      <w:r w:rsidRPr="00403844">
        <w:rPr>
          <w:rFonts w:ascii="Arial" w:hAnsi="Arial" w:cs="Arial"/>
          <w:color w:val="222222"/>
        </w:rPr>
        <w:t xml:space="preserve"> </w:t>
      </w:r>
      <w:r w:rsidRPr="00403844">
        <w:rPr>
          <w:rStyle w:val="hps"/>
          <w:rFonts w:ascii="Arial" w:hAnsi="Arial" w:cs="Arial"/>
          <w:color w:val="222222"/>
        </w:rPr>
        <w:t>su</w:t>
      </w:r>
      <w:r w:rsidR="00FE0E8E">
        <w:rPr>
          <w:rStyle w:val="hps"/>
          <w:rFonts w:ascii="Arial" w:hAnsi="Arial" w:cs="Arial"/>
          <w:color w:val="222222"/>
        </w:rPr>
        <w:t xml:space="preserve">jeto es de </w:t>
      </w:r>
      <w:r w:rsidRPr="00403844">
        <w:rPr>
          <w:rStyle w:val="hps"/>
          <w:rFonts w:ascii="Arial" w:hAnsi="Arial" w:cs="Arial"/>
          <w:color w:val="222222"/>
        </w:rPr>
        <w:t>la siguiente manera</w:t>
      </w:r>
      <w:r w:rsidRPr="00403844">
        <w:rPr>
          <w:rFonts w:ascii="Arial" w:hAnsi="Arial" w:cs="Arial"/>
          <w:color w:val="222222"/>
        </w:rPr>
        <w:t>:</w:t>
      </w:r>
    </w:p>
    <w:p w:rsidR="00403844" w:rsidRDefault="00403844" w:rsidP="00403844">
      <w:pPr>
        <w:jc w:val="both"/>
        <w:rPr>
          <w:rFonts w:ascii="Arial" w:hAnsi="Arial" w:cs="Arial"/>
        </w:rPr>
      </w:pPr>
    </w:p>
    <w:p w:rsidR="00403844" w:rsidRDefault="001F249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Tutor legamente autorizado por </w:t>
      </w:r>
      <w:r w:rsidR="00FE0E8E">
        <w:rPr>
          <w:rFonts w:ascii="Arial" w:hAnsi="Arial" w:cs="Arial"/>
        </w:rPr>
        <w:t>un j</w:t>
      </w:r>
      <w:r>
        <w:rPr>
          <w:rFonts w:ascii="Arial" w:hAnsi="Arial" w:cs="Arial"/>
        </w:rPr>
        <w:t>uez</w:t>
      </w:r>
    </w:p>
    <w:p w:rsidR="001F2495" w:rsidRPr="00405FB1" w:rsidRDefault="001F2495" w:rsidP="001F249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405FB1">
        <w:rPr>
          <w:rFonts w:ascii="Arial" w:hAnsi="Arial" w:cs="Arial"/>
        </w:rPr>
        <w:t>Cónyuge</w:t>
      </w:r>
    </w:p>
    <w:p w:rsidR="001F2495" w:rsidRPr="00405FB1" w:rsidRDefault="00FE0E8E" w:rsidP="001F249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405FB1">
        <w:rPr>
          <w:rFonts w:ascii="Arial" w:hAnsi="Arial" w:cs="Arial"/>
        </w:rPr>
        <w:t xml:space="preserve">ijo y/o hija </w:t>
      </w:r>
      <w:r>
        <w:rPr>
          <w:rFonts w:ascii="Arial" w:hAnsi="Arial" w:cs="Arial"/>
        </w:rPr>
        <w:t>a</w:t>
      </w:r>
      <w:r w:rsidR="001F2495" w:rsidRPr="00405FB1">
        <w:rPr>
          <w:rFonts w:ascii="Arial" w:hAnsi="Arial" w:cs="Arial"/>
        </w:rPr>
        <w:t xml:space="preserve">dultos </w:t>
      </w:r>
    </w:p>
    <w:p w:rsidR="001F2495" w:rsidRPr="00405FB1" w:rsidRDefault="001F2495" w:rsidP="001F249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405FB1">
        <w:rPr>
          <w:rFonts w:ascii="Arial" w:hAnsi="Arial" w:cs="Arial"/>
        </w:rPr>
        <w:t>Padres</w:t>
      </w:r>
    </w:p>
    <w:p w:rsidR="001F2495" w:rsidRPr="00405FB1" w:rsidRDefault="00FE0E8E" w:rsidP="001F249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405FB1">
        <w:rPr>
          <w:rFonts w:ascii="Arial" w:hAnsi="Arial" w:cs="Arial"/>
        </w:rPr>
        <w:t>ermano</w:t>
      </w:r>
      <w:r>
        <w:rPr>
          <w:rFonts w:ascii="Arial" w:hAnsi="Arial" w:cs="Arial"/>
        </w:rPr>
        <w:t xml:space="preserve"> </w:t>
      </w:r>
      <w:r w:rsidRPr="00405FB1">
        <w:rPr>
          <w:rFonts w:ascii="Arial" w:hAnsi="Arial" w:cs="Arial"/>
        </w:rPr>
        <w:t xml:space="preserve">y/o hermana </w:t>
      </w:r>
      <w:r>
        <w:rPr>
          <w:rFonts w:ascii="Arial" w:hAnsi="Arial" w:cs="Arial"/>
        </w:rPr>
        <w:t>a</w:t>
      </w:r>
      <w:r w:rsidR="001F2495" w:rsidRPr="00405FB1">
        <w:rPr>
          <w:rFonts w:ascii="Arial" w:hAnsi="Arial" w:cs="Arial"/>
        </w:rPr>
        <w:t xml:space="preserve">dulto </w:t>
      </w:r>
    </w:p>
    <w:p w:rsidR="001F2495" w:rsidRPr="00405FB1" w:rsidRDefault="001F2495" w:rsidP="001F249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405FB1">
        <w:rPr>
          <w:rFonts w:ascii="Arial" w:hAnsi="Arial" w:cs="Arial"/>
        </w:rPr>
        <w:t xml:space="preserve">Tío </w:t>
      </w:r>
      <w:r w:rsidR="00FE0E8E" w:rsidRPr="00405FB1">
        <w:rPr>
          <w:rFonts w:ascii="Arial" w:hAnsi="Arial" w:cs="Arial"/>
        </w:rPr>
        <w:t xml:space="preserve">y/o </w:t>
      </w:r>
      <w:r w:rsidRPr="00405FB1">
        <w:rPr>
          <w:rFonts w:ascii="Arial" w:hAnsi="Arial" w:cs="Arial"/>
        </w:rPr>
        <w:t>tía</w:t>
      </w:r>
    </w:p>
    <w:p w:rsidR="001F2495" w:rsidRPr="00405FB1" w:rsidRDefault="001F2495" w:rsidP="001F2495">
      <w:pPr>
        <w:pStyle w:val="Prrafodelista"/>
        <w:numPr>
          <w:ilvl w:val="0"/>
          <w:numId w:val="15"/>
        </w:numPr>
        <w:jc w:val="both"/>
        <w:rPr>
          <w:rFonts w:ascii="Arial" w:hAnsi="Arial" w:cs="Arial"/>
        </w:rPr>
      </w:pPr>
      <w:r w:rsidRPr="00405FB1">
        <w:rPr>
          <w:rFonts w:ascii="Arial" w:hAnsi="Arial" w:cs="Arial"/>
        </w:rPr>
        <w:t>Otro pariente adulto</w:t>
      </w:r>
    </w:p>
    <w:p w:rsidR="008A1BE2" w:rsidRDefault="008A1BE2" w:rsidP="00DB53D2">
      <w:pPr>
        <w:jc w:val="both"/>
        <w:rPr>
          <w:rFonts w:ascii="Arial" w:hAnsi="Arial" w:cs="Arial"/>
          <w:b/>
        </w:rPr>
      </w:pPr>
    </w:p>
    <w:p w:rsidR="001B213D" w:rsidRDefault="001B213D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1F249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 ALCANCE</w:t>
      </w:r>
    </w:p>
    <w:p w:rsidR="00CC79A3" w:rsidRDefault="00CC79A3" w:rsidP="00DB53D2">
      <w:pPr>
        <w:jc w:val="both"/>
        <w:rPr>
          <w:rFonts w:ascii="Arial" w:hAnsi="Arial" w:cs="Arial"/>
          <w:b/>
        </w:rPr>
      </w:pPr>
    </w:p>
    <w:p w:rsidR="00DA0186" w:rsidRPr="00B50062" w:rsidRDefault="00DA0186" w:rsidP="003F760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</w:t>
      </w:r>
      <w:r w:rsidRPr="00B50062">
        <w:rPr>
          <w:rFonts w:ascii="Arial" w:hAnsi="Arial" w:cs="Arial"/>
          <w:lang w:val="es-MX"/>
        </w:rPr>
        <w:t xml:space="preserve">tas políticas y procedimientos se aplican a todo el personal del </w:t>
      </w:r>
      <w:r w:rsidR="003F7605">
        <w:rPr>
          <w:rFonts w:ascii="Arial" w:hAnsi="Arial" w:cs="Arial"/>
          <w:lang w:val="es-MX"/>
        </w:rPr>
        <w:t>CEI.</w:t>
      </w:r>
    </w:p>
    <w:p w:rsidR="00DA0186" w:rsidRDefault="00DA0186" w:rsidP="00DB53D2">
      <w:pPr>
        <w:jc w:val="both"/>
        <w:rPr>
          <w:rFonts w:ascii="Arial" w:hAnsi="Arial" w:cs="Arial"/>
          <w:b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</w:t>
      </w:r>
      <w:r w:rsidR="00A12ECC">
        <w:rPr>
          <w:rFonts w:ascii="Arial" w:hAnsi="Arial" w:cs="Arial"/>
          <w:b/>
        </w:rPr>
        <w:t>II</w:t>
      </w:r>
      <w:r w:rsidRPr="00803517">
        <w:rPr>
          <w:rFonts w:ascii="Arial" w:hAnsi="Arial" w:cs="Arial"/>
          <w:b/>
        </w:rPr>
        <w:t>. PROCEDIMIENTO</w:t>
      </w:r>
    </w:p>
    <w:p w:rsidR="003F7605" w:rsidRDefault="003F7605" w:rsidP="00DA0186">
      <w:pPr>
        <w:ind w:left="288"/>
        <w:jc w:val="both"/>
        <w:rPr>
          <w:rFonts w:ascii="Arial" w:hAnsi="Arial" w:cs="Arial"/>
          <w:lang w:val="es-MX"/>
        </w:rPr>
      </w:pPr>
    </w:p>
    <w:p w:rsidR="00DA0186" w:rsidRDefault="00DA0186" w:rsidP="00DA0186">
      <w:pPr>
        <w:ind w:left="28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Define las circunstancias cuando la autoridad signataria puede ser delegada y a quién puede ser concedida tal delegación.</w:t>
      </w:r>
    </w:p>
    <w:p w:rsidR="00B50A97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</w:p>
    <w:tbl>
      <w:tblPr>
        <w:tblW w:w="865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969"/>
        <w:gridCol w:w="2700"/>
      </w:tblGrid>
      <w:tr w:rsidR="00DA0186" w:rsidTr="00FE0E8E">
        <w:trPr>
          <w:cantSplit/>
        </w:trPr>
        <w:tc>
          <w:tcPr>
            <w:tcW w:w="1985" w:type="dxa"/>
            <w:shd w:val="pct10" w:color="000000" w:fill="FFFFFF"/>
          </w:tcPr>
          <w:p w:rsidR="00DA0186" w:rsidRDefault="00DA0186" w:rsidP="002A7D71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Quién</w:t>
            </w:r>
          </w:p>
        </w:tc>
        <w:tc>
          <w:tcPr>
            <w:tcW w:w="3969" w:type="dxa"/>
            <w:shd w:val="pct10" w:color="000000" w:fill="FFFFFF"/>
          </w:tcPr>
          <w:p w:rsidR="00DA0186" w:rsidRDefault="00DA0186" w:rsidP="002A7D71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Tarea</w:t>
            </w:r>
          </w:p>
        </w:tc>
        <w:tc>
          <w:tcPr>
            <w:tcW w:w="2700" w:type="dxa"/>
            <w:shd w:val="pct10" w:color="000000" w:fill="FFFFFF"/>
          </w:tcPr>
          <w:p w:rsidR="00DA0186" w:rsidRDefault="00DA0186" w:rsidP="002A7D71">
            <w:pPr>
              <w:pStyle w:val="procedurestablestyle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>Herramienta</w:t>
            </w:r>
          </w:p>
        </w:tc>
      </w:tr>
      <w:tr w:rsidR="00DA0186" w:rsidTr="00FE0E8E">
        <w:trPr>
          <w:cantSplit/>
        </w:trPr>
        <w:tc>
          <w:tcPr>
            <w:tcW w:w="1985" w:type="dxa"/>
            <w:shd w:val="pct5" w:color="000000" w:fill="FFFFFF"/>
          </w:tcPr>
          <w:p w:rsidR="00DA0186" w:rsidRDefault="002A7D71" w:rsidP="00DA0186">
            <w:pPr>
              <w:pStyle w:val="procedurestablestyle"/>
              <w:jc w:val="both"/>
              <w:rPr>
                <w:lang w:val="es-MX"/>
              </w:rPr>
            </w:pPr>
            <w:r>
              <w:rPr>
                <w:i/>
                <w:lang w:val="es-MX"/>
              </w:rPr>
              <w:t>Director</w:t>
            </w:r>
          </w:p>
        </w:tc>
        <w:tc>
          <w:tcPr>
            <w:tcW w:w="3969" w:type="dxa"/>
            <w:shd w:val="pct5" w:color="000000" w:fill="FFFFFF"/>
          </w:tcPr>
          <w:p w:rsidR="00DA0186" w:rsidRDefault="002A7D71" w:rsidP="00DA0186">
            <w:pPr>
              <w:spacing w:before="12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Asegura</w:t>
            </w:r>
            <w:r w:rsidR="00FE0E8E">
              <w:rPr>
                <w:rFonts w:ascii="Arial" w:hAnsi="Arial" w:cs="Arial"/>
                <w:lang w:val="es-MX"/>
              </w:rPr>
              <w:t>r</w:t>
            </w:r>
            <w:r>
              <w:rPr>
                <w:rFonts w:ascii="Arial" w:hAnsi="Arial" w:cs="Arial"/>
                <w:lang w:val="es-MX"/>
              </w:rPr>
              <w:t xml:space="preserve"> la </w:t>
            </w:r>
            <w:r w:rsidR="00FE0E8E">
              <w:rPr>
                <w:rFonts w:ascii="Arial" w:hAnsi="Arial" w:cs="Arial"/>
                <w:lang w:val="es-MX"/>
              </w:rPr>
              <w:t>i</w:t>
            </w:r>
            <w:r>
              <w:rPr>
                <w:rFonts w:ascii="Arial" w:hAnsi="Arial" w:cs="Arial"/>
                <w:lang w:val="es-MX"/>
              </w:rPr>
              <w:t>ndependencia del Programa.</w:t>
            </w:r>
          </w:p>
          <w:p w:rsidR="00DA0186" w:rsidRDefault="00DA0186" w:rsidP="00DA0186">
            <w:pPr>
              <w:spacing w:before="120"/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pct5" w:color="000000" w:fill="FFFFFF"/>
          </w:tcPr>
          <w:p w:rsidR="00DA0186" w:rsidRDefault="002A7D71" w:rsidP="002A7D71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Reglamento Interno de Investigación.</w:t>
            </w:r>
          </w:p>
        </w:tc>
      </w:tr>
      <w:tr w:rsidR="00DA0186" w:rsidTr="00FE0E8E">
        <w:tc>
          <w:tcPr>
            <w:tcW w:w="1985" w:type="dxa"/>
            <w:tcBorders>
              <w:bottom w:val="single" w:sz="6" w:space="0" w:color="auto"/>
            </w:tcBorders>
            <w:shd w:val="pct5" w:color="000000" w:fill="FFFFFF"/>
          </w:tcPr>
          <w:p w:rsidR="00DA0186" w:rsidRDefault="002A7D71" w:rsidP="00DA0186">
            <w:pPr>
              <w:pStyle w:val="procedurestablestyle"/>
              <w:jc w:val="both"/>
              <w:rPr>
                <w:lang w:val="es-MX"/>
              </w:rPr>
            </w:pPr>
            <w:r>
              <w:rPr>
                <w:i/>
                <w:lang w:val="es-MX"/>
              </w:rPr>
              <w:lastRenderedPageBreak/>
              <w:t>Secretario de Investigación Clínica.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pct5" w:color="000000" w:fill="FFFFFF"/>
          </w:tcPr>
          <w:p w:rsidR="00403844" w:rsidRDefault="002B0336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Determina</w:t>
            </w:r>
            <w:r w:rsidR="00FE0E8E">
              <w:rPr>
                <w:rFonts w:ascii="Arial" w:hAnsi="Arial" w:cs="Arial"/>
                <w:lang w:val="es-MX"/>
              </w:rPr>
              <w:t>r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="00FE0E8E">
              <w:rPr>
                <w:rFonts w:ascii="Arial" w:hAnsi="Arial" w:cs="Arial"/>
                <w:lang w:val="es-MX"/>
              </w:rPr>
              <w:t xml:space="preserve">e implementar la decisión del  </w:t>
            </w:r>
            <w:r>
              <w:rPr>
                <w:rFonts w:ascii="Arial" w:hAnsi="Arial" w:cs="Arial"/>
                <w:lang w:val="es-MX"/>
              </w:rPr>
              <w:t xml:space="preserve">Reporte de Coerción, </w:t>
            </w:r>
            <w:r w:rsidR="00FE0E8E">
              <w:rPr>
                <w:rFonts w:ascii="Arial" w:hAnsi="Arial" w:cs="Arial"/>
                <w:lang w:val="es-MX"/>
              </w:rPr>
              <w:t>asegurando</w:t>
            </w:r>
            <w:r w:rsidR="00FE0E8E" w:rsidDel="00FE0E8E">
              <w:rPr>
                <w:rFonts w:ascii="Arial" w:hAnsi="Arial" w:cs="Arial"/>
                <w:lang w:val="es-MX"/>
              </w:rPr>
              <w:t xml:space="preserve"> </w:t>
            </w:r>
            <w:r>
              <w:rPr>
                <w:rFonts w:ascii="Arial" w:hAnsi="Arial" w:cs="Arial"/>
                <w:lang w:val="es-MX"/>
              </w:rPr>
              <w:t xml:space="preserve">siempre la independencia del Programa y de los </w:t>
            </w:r>
            <w:r w:rsidR="00FE0E8E">
              <w:rPr>
                <w:rFonts w:ascii="Arial" w:hAnsi="Arial" w:cs="Arial"/>
                <w:lang w:val="es-MX"/>
              </w:rPr>
              <w:t>d</w:t>
            </w:r>
            <w:r>
              <w:rPr>
                <w:rFonts w:ascii="Arial" w:hAnsi="Arial" w:cs="Arial"/>
                <w:lang w:val="es-MX"/>
              </w:rPr>
              <w:t>erechos y bienestar de los pacientes.</w:t>
            </w:r>
          </w:p>
        </w:tc>
        <w:tc>
          <w:tcPr>
            <w:tcW w:w="2700" w:type="dxa"/>
            <w:tcBorders>
              <w:bottom w:val="single" w:sz="6" w:space="0" w:color="auto"/>
            </w:tcBorders>
            <w:shd w:val="pct5" w:color="000000" w:fill="FFFFFF"/>
          </w:tcPr>
          <w:p w:rsidR="00DA0186" w:rsidRDefault="002B0336" w:rsidP="002A7D71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GA106-B. Carta </w:t>
            </w:r>
            <w:r w:rsidR="00FE0E8E">
              <w:rPr>
                <w:lang w:val="es-MX"/>
              </w:rPr>
              <w:t xml:space="preserve">de </w:t>
            </w:r>
            <w:r>
              <w:rPr>
                <w:lang w:val="es-MX"/>
              </w:rPr>
              <w:t xml:space="preserve">respuesta. Reporte </w:t>
            </w:r>
            <w:r w:rsidR="00FE0E8E">
              <w:rPr>
                <w:lang w:val="es-MX"/>
              </w:rPr>
              <w:t xml:space="preserve">de </w:t>
            </w:r>
            <w:r>
              <w:rPr>
                <w:lang w:val="es-MX"/>
              </w:rPr>
              <w:t>Coerción</w:t>
            </w:r>
          </w:p>
        </w:tc>
      </w:tr>
      <w:tr w:rsidR="00DA0186" w:rsidTr="00FE0E8E">
        <w:tc>
          <w:tcPr>
            <w:tcW w:w="1985" w:type="dxa"/>
            <w:shd w:val="pct5" w:color="000000" w:fill="FFFFFF"/>
          </w:tcPr>
          <w:p w:rsidR="00DA0186" w:rsidRDefault="002A7D71" w:rsidP="002A7D71">
            <w:pPr>
              <w:pStyle w:val="procedurestablestyle"/>
              <w:jc w:val="both"/>
              <w:rPr>
                <w:lang w:val="es-MX"/>
              </w:rPr>
            </w:pPr>
            <w:r>
              <w:rPr>
                <w:i/>
                <w:lang w:val="es-MX"/>
              </w:rPr>
              <w:t>Miembros del Programa HRPP</w:t>
            </w:r>
          </w:p>
        </w:tc>
        <w:tc>
          <w:tcPr>
            <w:tcW w:w="3969" w:type="dxa"/>
            <w:shd w:val="pct5" w:color="000000" w:fill="FFFFFF"/>
          </w:tcPr>
          <w:p w:rsidR="00DA0186" w:rsidRDefault="002A7D71" w:rsidP="002A7D71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Denuncia</w:t>
            </w:r>
            <w:r w:rsidR="00FE0E8E">
              <w:rPr>
                <w:lang w:val="es-MX"/>
              </w:rPr>
              <w:t>r</w:t>
            </w:r>
            <w:r>
              <w:rPr>
                <w:lang w:val="es-MX"/>
              </w:rPr>
              <w:t xml:space="preserve"> cualquier tipo de presión, influencia o coerción</w:t>
            </w:r>
            <w:r w:rsidR="002B0336">
              <w:rPr>
                <w:lang w:val="es-MX"/>
              </w:rPr>
              <w:t xml:space="preserve"> por cualquier miembro involucrado en el proceso</w:t>
            </w:r>
          </w:p>
          <w:p w:rsidR="00DA0186" w:rsidRDefault="00DA0186" w:rsidP="002A7D71">
            <w:pPr>
              <w:pStyle w:val="procedurestablestyle"/>
              <w:jc w:val="both"/>
              <w:rPr>
                <w:lang w:val="es-MX"/>
              </w:rPr>
            </w:pPr>
          </w:p>
        </w:tc>
        <w:tc>
          <w:tcPr>
            <w:tcW w:w="2700" w:type="dxa"/>
            <w:shd w:val="pct5" w:color="000000" w:fill="FFFFFF"/>
          </w:tcPr>
          <w:p w:rsidR="00DA0186" w:rsidRDefault="002B0336" w:rsidP="002A7D71">
            <w:pPr>
              <w:pStyle w:val="procedurestablestyle"/>
              <w:jc w:val="both"/>
              <w:rPr>
                <w:lang w:val="es-MX"/>
              </w:rPr>
            </w:pPr>
            <w:r>
              <w:rPr>
                <w:lang w:val="es-MX"/>
              </w:rPr>
              <w:t>GA106-A. Reporte de Coerción.</w:t>
            </w:r>
          </w:p>
        </w:tc>
      </w:tr>
    </w:tbl>
    <w:p w:rsidR="00B50A97" w:rsidRDefault="00B50A97" w:rsidP="00B50A9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Cs w:val="19"/>
          <w:lang w:eastAsia="en-US"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VI. MATERIALES</w:t>
      </w:r>
    </w:p>
    <w:p w:rsidR="003D3DE3" w:rsidRDefault="003D3DE3" w:rsidP="00DB53D2">
      <w:pPr>
        <w:jc w:val="both"/>
        <w:rPr>
          <w:rFonts w:ascii="Arial" w:hAnsi="Arial" w:cs="Arial"/>
          <w:b/>
        </w:rPr>
      </w:pPr>
    </w:p>
    <w:p w:rsidR="008970CA" w:rsidRDefault="00D12261" w:rsidP="008970CA">
      <w:pPr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F-</w:t>
      </w:r>
      <w:r w:rsidR="008970CA" w:rsidRPr="00BF18C2">
        <w:rPr>
          <w:rFonts w:ascii="Arial" w:hAnsi="Arial" w:cs="Arial"/>
          <w:lang w:val="es-MX"/>
        </w:rPr>
        <w:t>GA</w:t>
      </w:r>
      <w:r>
        <w:rPr>
          <w:rFonts w:ascii="Arial" w:hAnsi="Arial" w:cs="Arial"/>
          <w:lang w:val="es-MX"/>
        </w:rPr>
        <w:t>-</w:t>
      </w:r>
      <w:r w:rsidR="008970CA" w:rsidRPr="00BF18C2">
        <w:rPr>
          <w:rFonts w:ascii="Arial" w:hAnsi="Arial" w:cs="Arial"/>
          <w:lang w:val="es-MX"/>
        </w:rPr>
        <w:t>106-A</w:t>
      </w:r>
      <w:r>
        <w:rPr>
          <w:rFonts w:ascii="Arial" w:hAnsi="Arial" w:cs="Arial"/>
          <w:lang w:val="es-MX"/>
        </w:rPr>
        <w:t>-05</w:t>
      </w:r>
      <w:r w:rsidR="008970CA" w:rsidRPr="00BF18C2">
        <w:rPr>
          <w:rFonts w:ascii="Arial" w:hAnsi="Arial" w:cs="Arial"/>
          <w:lang w:val="es-MX"/>
        </w:rPr>
        <w:t>. Reporte de Coerción.</w:t>
      </w:r>
      <w:r w:rsidR="008970CA">
        <w:rPr>
          <w:rFonts w:ascii="Arial" w:hAnsi="Arial" w:cs="Arial"/>
          <w:lang w:val="es-MX"/>
        </w:rPr>
        <w:t xml:space="preserve"> (c)</w:t>
      </w:r>
    </w:p>
    <w:p w:rsidR="003D3DE3" w:rsidRPr="00BF18C2" w:rsidRDefault="00D12261" w:rsidP="00DB53D2">
      <w:pPr>
        <w:ind w:firstLine="70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F-</w:t>
      </w:r>
      <w:r w:rsidR="00BF18C2" w:rsidRPr="00BF18C2">
        <w:rPr>
          <w:rFonts w:ascii="Arial" w:hAnsi="Arial" w:cs="Arial"/>
          <w:lang w:val="es-MX"/>
        </w:rPr>
        <w:t>GA</w:t>
      </w:r>
      <w:r>
        <w:rPr>
          <w:rFonts w:ascii="Arial" w:hAnsi="Arial" w:cs="Arial"/>
          <w:lang w:val="es-MX"/>
        </w:rPr>
        <w:t>-</w:t>
      </w:r>
      <w:r w:rsidR="00BF18C2" w:rsidRPr="00BF18C2">
        <w:rPr>
          <w:rFonts w:ascii="Arial" w:hAnsi="Arial" w:cs="Arial"/>
          <w:lang w:val="es-MX"/>
        </w:rPr>
        <w:t>106-B</w:t>
      </w:r>
      <w:r>
        <w:rPr>
          <w:rFonts w:ascii="Arial" w:hAnsi="Arial" w:cs="Arial"/>
          <w:lang w:val="es-MX"/>
        </w:rPr>
        <w:t>-05</w:t>
      </w:r>
      <w:r w:rsidR="00BF18C2" w:rsidRPr="00BF18C2">
        <w:rPr>
          <w:rFonts w:ascii="Arial" w:hAnsi="Arial" w:cs="Arial"/>
          <w:lang w:val="es-MX"/>
        </w:rPr>
        <w:t xml:space="preserve">. Carta </w:t>
      </w:r>
      <w:r w:rsidR="00FE0E8E">
        <w:rPr>
          <w:rFonts w:ascii="Arial" w:hAnsi="Arial" w:cs="Arial"/>
          <w:lang w:val="es-MX"/>
        </w:rPr>
        <w:t xml:space="preserve">de </w:t>
      </w:r>
      <w:r w:rsidR="00BF18C2" w:rsidRPr="00BF18C2">
        <w:rPr>
          <w:rFonts w:ascii="Arial" w:hAnsi="Arial" w:cs="Arial"/>
          <w:lang w:val="es-MX"/>
        </w:rPr>
        <w:t xml:space="preserve">respuesta. Reporte </w:t>
      </w:r>
      <w:r w:rsidR="00FE0E8E">
        <w:rPr>
          <w:rFonts w:ascii="Arial" w:hAnsi="Arial" w:cs="Arial"/>
          <w:lang w:val="es-MX"/>
        </w:rPr>
        <w:t xml:space="preserve">de </w:t>
      </w:r>
      <w:r w:rsidR="00BF18C2" w:rsidRPr="00BF18C2">
        <w:rPr>
          <w:rFonts w:ascii="Arial" w:hAnsi="Arial" w:cs="Arial"/>
          <w:lang w:val="es-MX"/>
        </w:rPr>
        <w:t>Coerción</w:t>
      </w:r>
      <w:r w:rsidR="008970CA">
        <w:rPr>
          <w:rFonts w:ascii="Arial" w:hAnsi="Arial" w:cs="Arial"/>
          <w:lang w:val="es-MX"/>
        </w:rPr>
        <w:t xml:space="preserve"> (c)</w:t>
      </w:r>
    </w:p>
    <w:p w:rsidR="00B50A97" w:rsidRDefault="00B50A97" w:rsidP="00DB53D2">
      <w:pPr>
        <w:jc w:val="both"/>
        <w:rPr>
          <w:rFonts w:ascii="Arial" w:hAnsi="Arial" w:cs="Arial"/>
          <w:b/>
        </w:rPr>
      </w:pPr>
    </w:p>
    <w:p w:rsidR="00830631" w:rsidRDefault="00830631" w:rsidP="00DB53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LIGAS DE INTERES</w:t>
      </w:r>
      <w:r w:rsidR="002E2FEC">
        <w:rPr>
          <w:rFonts w:ascii="Arial" w:hAnsi="Arial" w:cs="Arial"/>
          <w:b/>
        </w:rPr>
        <w:t xml:space="preserve"> O DE DESCARGA</w:t>
      </w:r>
    </w:p>
    <w:p w:rsidR="00985FCE" w:rsidRDefault="00985FCE" w:rsidP="00DB53D2">
      <w:pPr>
        <w:jc w:val="both"/>
        <w:rPr>
          <w:rFonts w:ascii="Arial" w:hAnsi="Arial" w:cs="Arial"/>
          <w:b/>
        </w:rPr>
      </w:pPr>
    </w:p>
    <w:p w:rsidR="001B213D" w:rsidRPr="00AD7C71" w:rsidRDefault="00CB37E8" w:rsidP="00985FC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VII.1 </w:t>
      </w:r>
      <w:r w:rsidR="00985FCE">
        <w:rPr>
          <w:rFonts w:ascii="Arial" w:hAnsi="Arial" w:cs="Arial"/>
        </w:rPr>
        <w:t>Ninguna</w:t>
      </w:r>
    </w:p>
    <w:p w:rsidR="009C4C4B" w:rsidRDefault="009C4C4B" w:rsidP="00DB53D2">
      <w:pPr>
        <w:ind w:firstLine="708"/>
        <w:jc w:val="both"/>
        <w:rPr>
          <w:rFonts w:ascii="Arial" w:hAnsi="Arial" w:cs="Arial"/>
        </w:rPr>
      </w:pPr>
    </w:p>
    <w:p w:rsidR="00803517" w:rsidRDefault="00803517" w:rsidP="00DB53D2">
      <w:pPr>
        <w:jc w:val="both"/>
        <w:rPr>
          <w:rFonts w:ascii="Arial" w:hAnsi="Arial" w:cs="Arial"/>
          <w:b/>
        </w:rPr>
      </w:pPr>
      <w:r w:rsidRPr="00803517">
        <w:rPr>
          <w:rFonts w:ascii="Arial" w:hAnsi="Arial" w:cs="Arial"/>
          <w:b/>
        </w:rPr>
        <w:t>VI</w:t>
      </w:r>
      <w:r w:rsidR="00830631">
        <w:rPr>
          <w:rFonts w:ascii="Arial" w:hAnsi="Arial" w:cs="Arial"/>
          <w:b/>
        </w:rPr>
        <w:t>I</w:t>
      </w:r>
      <w:r w:rsidRPr="00803517">
        <w:rPr>
          <w:rFonts w:ascii="Arial" w:hAnsi="Arial" w:cs="Arial"/>
          <w:b/>
        </w:rPr>
        <w:t>I. REFERENCIAS</w:t>
      </w:r>
      <w:bookmarkStart w:id="0" w:name="_GoBack"/>
      <w:bookmarkEnd w:id="0"/>
    </w:p>
    <w:p w:rsidR="003F7605" w:rsidRDefault="003F7605" w:rsidP="00DB53D2">
      <w:pPr>
        <w:jc w:val="both"/>
        <w:rPr>
          <w:rFonts w:ascii="Arial" w:hAnsi="Arial" w:cs="Arial"/>
          <w:b/>
        </w:rPr>
      </w:pPr>
    </w:p>
    <w:p w:rsidR="00DA0186" w:rsidRDefault="00DA0186" w:rsidP="00DA01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MX"/>
        </w:rPr>
      </w:pPr>
      <w:r w:rsidRPr="00DA0186">
        <w:rPr>
          <w:rFonts w:ascii="Arial" w:hAnsi="Arial" w:cs="Arial"/>
          <w:lang w:val="es-MX"/>
        </w:rPr>
        <w:t>45 CFR 46.</w:t>
      </w:r>
      <w:r w:rsidR="000D7326">
        <w:rPr>
          <w:rFonts w:ascii="Arial" w:hAnsi="Arial" w:cs="Arial"/>
          <w:lang w:val="es-MX"/>
        </w:rPr>
        <w:t>109 (a) (b)</w:t>
      </w:r>
    </w:p>
    <w:p w:rsidR="002472B1" w:rsidRPr="007033EA" w:rsidRDefault="002472B1" w:rsidP="00DA01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lang w:val="es-MX"/>
        </w:rPr>
      </w:pPr>
      <w:r w:rsidRPr="002472B1">
        <w:rPr>
          <w:rFonts w:ascii="Arial" w:hAnsi="Arial" w:cs="Arial"/>
          <w:color w:val="000000"/>
          <w:szCs w:val="23"/>
        </w:rPr>
        <w:t xml:space="preserve">45 CFR </w:t>
      </w:r>
      <w:r w:rsidR="000D7326">
        <w:rPr>
          <w:rFonts w:ascii="Arial" w:hAnsi="Arial" w:cs="Arial"/>
          <w:color w:val="000000"/>
          <w:szCs w:val="23"/>
        </w:rPr>
        <w:t>46.113</w:t>
      </w:r>
    </w:p>
    <w:p w:rsidR="007033EA" w:rsidRPr="009E5417" w:rsidRDefault="00403844" w:rsidP="00DA01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8"/>
          <w:lang w:val="es-MX"/>
        </w:rPr>
      </w:pPr>
      <w:r w:rsidRPr="00403844">
        <w:rPr>
          <w:rFonts w:ascii="Arial" w:eastAsiaTheme="minorHAnsi" w:hAnsi="Arial" w:cs="Arial"/>
          <w:bCs/>
          <w:lang w:eastAsia="en-US"/>
        </w:rPr>
        <w:t>45 CFR 46.102</w:t>
      </w:r>
    </w:p>
    <w:p w:rsidR="009E5417" w:rsidRPr="00FE0E8E" w:rsidRDefault="00403844" w:rsidP="009E541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MX"/>
        </w:rPr>
      </w:pPr>
      <w:r w:rsidRPr="00403844">
        <w:rPr>
          <w:rFonts w:ascii="Arial" w:eastAsiaTheme="minorHAnsi" w:hAnsi="Arial" w:cs="Arial"/>
          <w:lang w:eastAsia="en-US"/>
        </w:rPr>
        <w:t>45 CFR 46.402</w:t>
      </w:r>
    </w:p>
    <w:p w:rsidR="002472B1" w:rsidRPr="000D7326" w:rsidRDefault="002472B1" w:rsidP="00DA01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32"/>
          <w:lang w:val="es-MX"/>
        </w:rPr>
      </w:pPr>
      <w:r w:rsidRPr="002472B1">
        <w:rPr>
          <w:rFonts w:ascii="Arial" w:hAnsi="Arial" w:cs="Arial"/>
          <w:color w:val="000000"/>
          <w:szCs w:val="22"/>
        </w:rPr>
        <w:t>21 CFR 56.109</w:t>
      </w:r>
    </w:p>
    <w:p w:rsidR="000D7326" w:rsidRPr="008970CA" w:rsidRDefault="000D7326" w:rsidP="00DA01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32"/>
          <w:lang w:val="es-MX"/>
        </w:rPr>
      </w:pPr>
      <w:r>
        <w:rPr>
          <w:rFonts w:ascii="Arial" w:hAnsi="Arial" w:cs="Arial"/>
          <w:color w:val="000000"/>
          <w:szCs w:val="22"/>
        </w:rPr>
        <w:t>21 CFR56.113</w:t>
      </w:r>
    </w:p>
    <w:p w:rsidR="008970CA" w:rsidRPr="003F7605" w:rsidRDefault="008970CA" w:rsidP="00DA0186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32"/>
          <w:lang w:val="es-MX"/>
        </w:rPr>
      </w:pPr>
      <w:r w:rsidRPr="003F7605">
        <w:rPr>
          <w:rFonts w:ascii="Arial" w:hAnsi="Arial" w:cs="Arial"/>
          <w:color w:val="000000"/>
          <w:szCs w:val="22"/>
        </w:rPr>
        <w:t>21 CFR56.112</w:t>
      </w:r>
    </w:p>
    <w:p w:rsidR="00403844" w:rsidRPr="003F7605" w:rsidRDefault="00403844" w:rsidP="008C4A12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3F7605">
        <w:rPr>
          <w:rFonts w:ascii="Arial" w:hAnsi="Arial" w:cs="Arial"/>
          <w:color w:val="000000"/>
          <w:szCs w:val="22"/>
        </w:rPr>
        <w:t>Referencia de la AAHRPP. Elemento I.1.C</w:t>
      </w:r>
    </w:p>
    <w:p w:rsidR="003F7605" w:rsidRPr="004C450C" w:rsidRDefault="003F7605" w:rsidP="003F7605">
      <w:pPr>
        <w:pStyle w:val="level1bodystyle"/>
        <w:numPr>
          <w:ilvl w:val="0"/>
          <w:numId w:val="11"/>
        </w:numPr>
        <w:jc w:val="both"/>
        <w:rPr>
          <w:lang w:val="es-MX"/>
        </w:rPr>
      </w:pPr>
      <w:r w:rsidRPr="003F7605">
        <w:rPr>
          <w:lang w:val="es-MX"/>
        </w:rPr>
        <w:t>Guía Nacional</w:t>
      </w:r>
      <w:r w:rsidRPr="004C450C">
        <w:rPr>
          <w:lang w:val="es-MX"/>
        </w:rPr>
        <w:t xml:space="preserve"> para la Integración y el Funcionamiento de los Comités de Ética en Investigación, </w:t>
      </w:r>
      <w:r w:rsidR="00D12261">
        <w:rPr>
          <w:lang w:val="es-MX"/>
        </w:rPr>
        <w:t>Sexta Edición, 2018.</w:t>
      </w:r>
    </w:p>
    <w:p w:rsidR="003F7605" w:rsidRDefault="003F7605" w:rsidP="003F7605">
      <w:pPr>
        <w:pStyle w:val="Prrafodelista"/>
        <w:ind w:left="1080"/>
        <w:jc w:val="both"/>
        <w:rPr>
          <w:rFonts w:ascii="Arial" w:hAnsi="Arial" w:cs="Arial"/>
          <w:b/>
        </w:rPr>
      </w:pPr>
    </w:p>
    <w:sectPr w:rsidR="003F7605" w:rsidSect="00010504">
      <w:headerReference w:type="default" r:id="rId9"/>
      <w:footerReference w:type="default" r:id="rId10"/>
      <w:pgSz w:w="12242" w:h="15842" w:code="1"/>
      <w:pgMar w:top="1701" w:right="1701" w:bottom="1418" w:left="1701" w:header="1703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B6" w:rsidRDefault="00BB19B6" w:rsidP="00CB37E8">
      <w:r>
        <w:separator/>
      </w:r>
    </w:p>
  </w:endnote>
  <w:endnote w:type="continuationSeparator" w:id="0">
    <w:p w:rsidR="00BB19B6" w:rsidRDefault="00BB19B6" w:rsidP="00CB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42739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7D0AB2" w:rsidRDefault="007D0AB2">
            <w:pPr>
              <w:pStyle w:val="Piedepgina"/>
              <w:jc w:val="right"/>
            </w:pPr>
            <w:r>
              <w:t xml:space="preserve">Página </w:t>
            </w:r>
            <w:r w:rsidR="00285706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85706">
              <w:rPr>
                <w:b/>
              </w:rPr>
              <w:fldChar w:fldCharType="separate"/>
            </w:r>
            <w:r w:rsidR="00D12261">
              <w:rPr>
                <w:b/>
                <w:noProof/>
              </w:rPr>
              <w:t>3</w:t>
            </w:r>
            <w:r w:rsidR="00285706">
              <w:rPr>
                <w:b/>
              </w:rPr>
              <w:fldChar w:fldCharType="end"/>
            </w:r>
            <w:r>
              <w:t xml:space="preserve"> de </w:t>
            </w:r>
            <w:r w:rsidR="00285706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85706">
              <w:rPr>
                <w:b/>
              </w:rPr>
              <w:fldChar w:fldCharType="separate"/>
            </w:r>
            <w:r w:rsidR="00D12261">
              <w:rPr>
                <w:b/>
                <w:noProof/>
              </w:rPr>
              <w:t>4</w:t>
            </w:r>
            <w:r w:rsidR="00285706">
              <w:rPr>
                <w:b/>
              </w:rPr>
              <w:fldChar w:fldCharType="end"/>
            </w:r>
          </w:p>
        </w:sdtContent>
      </w:sdt>
    </w:sdtContent>
  </w:sdt>
  <w:p w:rsidR="007D0AB2" w:rsidRDefault="007D0A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B6" w:rsidRDefault="00BB19B6" w:rsidP="00CB37E8">
      <w:r>
        <w:separator/>
      </w:r>
    </w:p>
  </w:footnote>
  <w:footnote w:type="continuationSeparator" w:id="0">
    <w:p w:rsidR="00BB19B6" w:rsidRDefault="00BB19B6" w:rsidP="00CB3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AB2" w:rsidRDefault="007D0AB2">
    <w:pPr>
      <w:pStyle w:val="Encabezado"/>
    </w:pPr>
  </w:p>
  <w:tbl>
    <w:tblPr>
      <w:tblStyle w:val="Tablaconcuadrcula"/>
      <w:tblpPr w:leftFromText="141" w:rightFromText="141" w:vertAnchor="text" w:horzAnchor="margin" w:tblpY="-817"/>
      <w:tblW w:w="5000" w:type="pct"/>
      <w:tblLook w:val="04A0" w:firstRow="1" w:lastRow="0" w:firstColumn="1" w:lastColumn="0" w:noHBand="0" w:noVBand="1"/>
    </w:tblPr>
    <w:tblGrid>
      <w:gridCol w:w="2165"/>
      <w:gridCol w:w="1165"/>
      <w:gridCol w:w="1422"/>
      <w:gridCol w:w="2016"/>
      <w:gridCol w:w="2288"/>
    </w:tblGrid>
    <w:tr w:rsidR="007D0AB2" w:rsidTr="007A5DCE">
      <w:trPr>
        <w:trHeight w:val="410"/>
      </w:trPr>
      <w:tc>
        <w:tcPr>
          <w:tcW w:w="1196" w:type="pct"/>
          <w:vMerge w:val="restart"/>
        </w:tcPr>
        <w:p w:rsidR="007D0AB2" w:rsidRDefault="007D0AB2" w:rsidP="007A5DCE">
          <w:pPr>
            <w:rPr>
              <w:sz w:val="10"/>
            </w:rPr>
          </w:pPr>
        </w:p>
        <w:p w:rsidR="007D0AB2" w:rsidRDefault="007D0AB2" w:rsidP="007A5DCE">
          <w:pPr>
            <w:rPr>
              <w:rFonts w:ascii="Arial" w:hAnsi="Arial" w:cs="Arial"/>
              <w:sz w:val="12"/>
            </w:rPr>
          </w:pPr>
        </w:p>
        <w:p w:rsidR="007D0AB2" w:rsidRDefault="007D0AB2" w:rsidP="007A5DCE">
          <w:pPr>
            <w:rPr>
              <w:rFonts w:ascii="Arial" w:hAnsi="Arial" w:cs="Arial"/>
              <w:sz w:val="12"/>
            </w:rPr>
          </w:pPr>
        </w:p>
        <w:p w:rsidR="007D0AB2" w:rsidRDefault="007D0AB2" w:rsidP="007A5DCE">
          <w:pPr>
            <w:rPr>
              <w:rFonts w:ascii="Arial" w:hAnsi="Arial" w:cs="Arial"/>
              <w:sz w:val="12"/>
            </w:rPr>
          </w:pPr>
        </w:p>
        <w:p w:rsidR="007D0AB2" w:rsidRDefault="007D0AB2" w:rsidP="007A5DCE">
          <w:pPr>
            <w:rPr>
              <w:rFonts w:ascii="Arial" w:hAnsi="Arial" w:cs="Arial"/>
              <w:sz w:val="12"/>
            </w:rPr>
          </w:pPr>
        </w:p>
        <w:p w:rsidR="007D0AB2" w:rsidRDefault="007D0AB2" w:rsidP="007A5DCE">
          <w:pPr>
            <w:rPr>
              <w:rFonts w:ascii="Arial" w:hAnsi="Arial" w:cs="Arial"/>
              <w:sz w:val="12"/>
            </w:rPr>
          </w:pPr>
        </w:p>
        <w:p w:rsidR="007D0AB2" w:rsidRDefault="007D0AB2" w:rsidP="007A5DCE">
          <w:pPr>
            <w:rPr>
              <w:rFonts w:ascii="Arial" w:hAnsi="Arial" w:cs="Arial"/>
              <w:sz w:val="12"/>
            </w:rPr>
          </w:pPr>
        </w:p>
        <w:p w:rsidR="00362EFA" w:rsidRDefault="00362EFA" w:rsidP="00362EFA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noProof/>
              <w:sz w:val="12"/>
              <w:lang w:val="es-MX" w:eastAsia="ja-JP"/>
            </w:rPr>
            <w:drawing>
              <wp:anchor distT="0" distB="0" distL="114300" distR="114300" simplePos="0" relativeHeight="251660288" behindDoc="0" locked="0" layoutInCell="1" allowOverlap="1" wp14:anchorId="6F9580C8" wp14:editId="557A65C1">
                <wp:simplePos x="0" y="0"/>
                <wp:positionH relativeFrom="column">
                  <wp:posOffset>426085</wp:posOffset>
                </wp:positionH>
                <wp:positionV relativeFrom="paragraph">
                  <wp:posOffset>-524510</wp:posOffset>
                </wp:positionV>
                <wp:extent cx="464820" cy="463550"/>
                <wp:effectExtent l="19050" t="0" r="0" b="0"/>
                <wp:wrapSquare wrapText="bothSides"/>
                <wp:docPr id="6" name="Imagen 2" descr="logo uni col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uni col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sz w:val="12"/>
            </w:rPr>
            <w:t>Comité de Ética en Investigación</w:t>
          </w:r>
          <w:r w:rsidRPr="00803517">
            <w:rPr>
              <w:rFonts w:ascii="Arial" w:hAnsi="Arial" w:cs="Arial"/>
              <w:sz w:val="12"/>
            </w:rPr>
            <w:t>,</w:t>
          </w:r>
        </w:p>
        <w:p w:rsidR="007D0AB2" w:rsidRDefault="00362EFA" w:rsidP="00362EFA">
          <w:pPr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2"/>
            </w:rPr>
            <w:t>Hospital Universitario “Dr. José Eleuterio González”</w:t>
          </w:r>
          <w:r w:rsidR="007D0AB2" w:rsidRPr="00803517">
            <w:rPr>
              <w:rFonts w:ascii="Arial" w:hAnsi="Arial" w:cs="Arial"/>
              <w:sz w:val="12"/>
            </w:rPr>
            <w:t>,</w:t>
          </w:r>
        </w:p>
        <w:p w:rsidR="007D0AB2" w:rsidRPr="00DB53D2" w:rsidRDefault="007D0AB2" w:rsidP="007A5DCE">
          <w:pPr>
            <w:jc w:val="center"/>
            <w:rPr>
              <w:sz w:val="10"/>
            </w:rPr>
          </w:pPr>
          <w:r w:rsidRPr="00803517">
            <w:rPr>
              <w:rFonts w:ascii="Arial" w:hAnsi="Arial" w:cs="Arial"/>
              <w:sz w:val="12"/>
            </w:rPr>
            <w:t>UANL</w:t>
          </w:r>
        </w:p>
      </w:tc>
      <w:tc>
        <w:tcPr>
          <w:tcW w:w="3804" w:type="pct"/>
          <w:gridSpan w:val="4"/>
        </w:tcPr>
        <w:p w:rsidR="007D0AB2" w:rsidRDefault="007D0AB2" w:rsidP="007C490A">
          <w:pPr>
            <w:jc w:val="center"/>
          </w:pPr>
          <w:r>
            <w:rPr>
              <w:rFonts w:ascii="Arial" w:hAnsi="Arial" w:cs="Arial"/>
              <w:b/>
              <w:caps/>
              <w:lang w:val="es-MX"/>
            </w:rPr>
            <w:t>SOP:     REGULACIÓN APLICABLE</w:t>
          </w:r>
        </w:p>
      </w:tc>
    </w:tr>
    <w:tr w:rsidR="007D0AB2" w:rsidTr="007A5DCE">
      <w:trPr>
        <w:trHeight w:val="343"/>
      </w:trPr>
      <w:tc>
        <w:tcPr>
          <w:tcW w:w="1196" w:type="pct"/>
          <w:vMerge/>
        </w:tcPr>
        <w:p w:rsidR="007D0AB2" w:rsidRDefault="007D0AB2" w:rsidP="007A5DCE"/>
      </w:tc>
      <w:tc>
        <w:tcPr>
          <w:tcW w:w="643" w:type="pct"/>
        </w:tcPr>
        <w:p w:rsidR="00403844" w:rsidRDefault="007D0AB2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N</w:t>
          </w:r>
          <w:r>
            <w:rPr>
              <w:rFonts w:ascii="Arial" w:hAnsi="Arial" w:cs="Arial"/>
              <w:sz w:val="16"/>
            </w:rPr>
            <w:t>ú</w:t>
          </w:r>
          <w:r w:rsidRPr="00803517">
            <w:rPr>
              <w:rFonts w:ascii="Arial" w:hAnsi="Arial" w:cs="Arial"/>
              <w:sz w:val="16"/>
            </w:rPr>
            <w:t>mero</w:t>
          </w:r>
        </w:p>
      </w:tc>
      <w:tc>
        <w:tcPr>
          <w:tcW w:w="785" w:type="pct"/>
        </w:tcPr>
        <w:p w:rsidR="007D0AB2" w:rsidRPr="00803517" w:rsidRDefault="007D0AB2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Fecha</w:t>
          </w:r>
        </w:p>
      </w:tc>
      <w:tc>
        <w:tcPr>
          <w:tcW w:w="1113" w:type="pct"/>
        </w:tcPr>
        <w:p w:rsidR="007D0AB2" w:rsidRPr="00803517" w:rsidRDefault="007D0AB2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Autor</w:t>
          </w:r>
        </w:p>
      </w:tc>
      <w:tc>
        <w:tcPr>
          <w:tcW w:w="1262" w:type="pct"/>
        </w:tcPr>
        <w:p w:rsidR="007D0AB2" w:rsidRPr="00803517" w:rsidRDefault="007D0AB2" w:rsidP="007A5DCE">
          <w:pPr>
            <w:jc w:val="center"/>
            <w:rPr>
              <w:rFonts w:ascii="Arial" w:hAnsi="Arial" w:cs="Arial"/>
              <w:sz w:val="16"/>
            </w:rPr>
          </w:pPr>
          <w:r w:rsidRPr="00803517">
            <w:rPr>
              <w:rFonts w:ascii="Arial" w:hAnsi="Arial" w:cs="Arial"/>
              <w:sz w:val="16"/>
            </w:rPr>
            <w:t>Aprobado por</w:t>
          </w:r>
        </w:p>
      </w:tc>
    </w:tr>
    <w:tr w:rsidR="007D0AB2" w:rsidTr="007A5DCE">
      <w:trPr>
        <w:trHeight w:val="544"/>
      </w:trPr>
      <w:tc>
        <w:tcPr>
          <w:tcW w:w="1196" w:type="pct"/>
          <w:vMerge/>
        </w:tcPr>
        <w:p w:rsidR="007D0AB2" w:rsidRDefault="007D0AB2" w:rsidP="007A5DCE"/>
      </w:tc>
      <w:tc>
        <w:tcPr>
          <w:tcW w:w="643" w:type="pct"/>
        </w:tcPr>
        <w:p w:rsidR="007D0AB2" w:rsidRDefault="007D0AB2" w:rsidP="005314F0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GA-107</w:t>
          </w:r>
        </w:p>
        <w:p w:rsidR="007D0AB2" w:rsidRPr="00803517" w:rsidRDefault="00D12261" w:rsidP="005314F0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 05</w:t>
          </w:r>
        </w:p>
      </w:tc>
      <w:tc>
        <w:tcPr>
          <w:tcW w:w="785" w:type="pct"/>
        </w:tcPr>
        <w:p w:rsidR="007D0AB2" w:rsidRDefault="00D12261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Septiembre, 2022</w:t>
          </w:r>
        </w:p>
        <w:p w:rsidR="007D0AB2" w:rsidRPr="00803517" w:rsidRDefault="007D0AB2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13" w:type="pct"/>
        </w:tcPr>
        <w:p w:rsidR="007D0AB2" w:rsidRPr="00803517" w:rsidRDefault="00362EFA" w:rsidP="007A5DC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I. Hernández, V. Gómez, J. Garza, A. Carlos</w:t>
          </w:r>
          <w:r w:rsidR="00D12261">
            <w:rPr>
              <w:rFonts w:ascii="Arial" w:hAnsi="Arial" w:cs="Arial"/>
              <w:sz w:val="20"/>
              <w:szCs w:val="20"/>
            </w:rPr>
            <w:t>, E. Cantú</w:t>
          </w:r>
        </w:p>
      </w:tc>
      <w:tc>
        <w:tcPr>
          <w:tcW w:w="1262" w:type="pct"/>
        </w:tcPr>
        <w:p w:rsidR="007D0AB2" w:rsidRPr="00803517" w:rsidRDefault="00D12261" w:rsidP="007A5DC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A. Camacho</w:t>
          </w:r>
        </w:p>
      </w:tc>
    </w:tr>
  </w:tbl>
  <w:p w:rsidR="007D0AB2" w:rsidRDefault="007D0AB2">
    <w:pPr>
      <w:pStyle w:val="Encabezado"/>
    </w:pPr>
  </w:p>
  <w:p w:rsidR="007D0AB2" w:rsidRDefault="007D0A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1ED"/>
    <w:multiLevelType w:val="multilevel"/>
    <w:tmpl w:val="49C0A5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360"/>
      </w:pPr>
    </w:lvl>
    <w:lvl w:ilvl="2">
      <w:start w:val="1"/>
      <w:numFmt w:val="decimal"/>
      <w:lvlText w:val="%1.%2.%3"/>
      <w:lvlJc w:val="left"/>
      <w:pPr>
        <w:tabs>
          <w:tab w:val="num" w:pos="1272"/>
        </w:tabs>
        <w:ind w:left="1272" w:hanging="720"/>
      </w:p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1080"/>
      </w:p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1080"/>
      </w:p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096"/>
        </w:tabs>
        <w:ind w:left="30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732"/>
        </w:tabs>
        <w:ind w:left="373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008"/>
        </w:tabs>
        <w:ind w:left="4008" w:hanging="1800"/>
      </w:pPr>
    </w:lvl>
  </w:abstractNum>
  <w:abstractNum w:abstractNumId="1">
    <w:nsid w:val="04AC6A94"/>
    <w:multiLevelType w:val="multilevel"/>
    <w:tmpl w:val="EB04A20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2">
    <w:nsid w:val="0E2F5A8A"/>
    <w:multiLevelType w:val="hybridMultilevel"/>
    <w:tmpl w:val="65D2B6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0C387A"/>
    <w:multiLevelType w:val="hybridMultilevel"/>
    <w:tmpl w:val="2C2AD7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C132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5">
    <w:nsid w:val="19E22F33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00C99"/>
    <w:multiLevelType w:val="hybridMultilevel"/>
    <w:tmpl w:val="A6A46D44"/>
    <w:lvl w:ilvl="0" w:tplc="47A4D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8105A"/>
    <w:multiLevelType w:val="hybridMultilevel"/>
    <w:tmpl w:val="BA2EFBE6"/>
    <w:lvl w:ilvl="0" w:tplc="525AD9F8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14A05"/>
    <w:multiLevelType w:val="hybridMultilevel"/>
    <w:tmpl w:val="C1742236"/>
    <w:lvl w:ilvl="0" w:tplc="0C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>
    <w:nsid w:val="296F33DC"/>
    <w:multiLevelType w:val="hybridMultilevel"/>
    <w:tmpl w:val="589A70B4"/>
    <w:lvl w:ilvl="0" w:tplc="8A963F7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8870F4"/>
    <w:multiLevelType w:val="hybridMultilevel"/>
    <w:tmpl w:val="0FCA2C7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345BC0"/>
    <w:multiLevelType w:val="multilevel"/>
    <w:tmpl w:val="EDEAB00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12">
    <w:nsid w:val="3D192562"/>
    <w:multiLevelType w:val="hybridMultilevel"/>
    <w:tmpl w:val="D52A23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45005"/>
    <w:multiLevelType w:val="hybridMultilevel"/>
    <w:tmpl w:val="947CE4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711D2"/>
    <w:multiLevelType w:val="hybridMultilevel"/>
    <w:tmpl w:val="94A618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6056E"/>
    <w:multiLevelType w:val="hybridMultilevel"/>
    <w:tmpl w:val="1D7C91EC"/>
    <w:lvl w:ilvl="0" w:tplc="22C8B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C00B6"/>
    <w:multiLevelType w:val="hybridMultilevel"/>
    <w:tmpl w:val="89946C92"/>
    <w:lvl w:ilvl="0" w:tplc="FFFFFFFF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0"/>
        <w:lang w:val="es-MX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C25174"/>
    <w:multiLevelType w:val="hybridMultilevel"/>
    <w:tmpl w:val="29AE3D4A"/>
    <w:lvl w:ilvl="0" w:tplc="B73E5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5"/>
  </w:num>
  <w:num w:numId="13">
    <w:abstractNumId w:val="1"/>
  </w:num>
  <w:num w:numId="14">
    <w:abstractNumId w:val="8"/>
  </w:num>
  <w:num w:numId="15">
    <w:abstractNumId w:val="13"/>
  </w:num>
  <w:num w:numId="16">
    <w:abstractNumId w:val="14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DC"/>
    <w:rsid w:val="00010504"/>
    <w:rsid w:val="00030A6B"/>
    <w:rsid w:val="000726B6"/>
    <w:rsid w:val="000B5724"/>
    <w:rsid w:val="000C17A5"/>
    <w:rsid w:val="000D7326"/>
    <w:rsid w:val="00110867"/>
    <w:rsid w:val="0011116D"/>
    <w:rsid w:val="00160AFA"/>
    <w:rsid w:val="001B213D"/>
    <w:rsid w:val="001F2495"/>
    <w:rsid w:val="002472B1"/>
    <w:rsid w:val="00260BE7"/>
    <w:rsid w:val="00285706"/>
    <w:rsid w:val="002A7D71"/>
    <w:rsid w:val="002B0336"/>
    <w:rsid w:val="002C7153"/>
    <w:rsid w:val="002D420E"/>
    <w:rsid w:val="002D6459"/>
    <w:rsid w:val="002E2FEC"/>
    <w:rsid w:val="003358F5"/>
    <w:rsid w:val="00335ADD"/>
    <w:rsid w:val="00362EFA"/>
    <w:rsid w:val="003B761F"/>
    <w:rsid w:val="003C21DE"/>
    <w:rsid w:val="003C6FEA"/>
    <w:rsid w:val="003D3DE3"/>
    <w:rsid w:val="003D4494"/>
    <w:rsid w:val="003F7605"/>
    <w:rsid w:val="00403844"/>
    <w:rsid w:val="004B18FB"/>
    <w:rsid w:val="004C421F"/>
    <w:rsid w:val="004D658C"/>
    <w:rsid w:val="004F065F"/>
    <w:rsid w:val="005314F0"/>
    <w:rsid w:val="005A0CB4"/>
    <w:rsid w:val="005C138C"/>
    <w:rsid w:val="005F6E91"/>
    <w:rsid w:val="00621DE6"/>
    <w:rsid w:val="006401B4"/>
    <w:rsid w:val="0065029A"/>
    <w:rsid w:val="006B50A9"/>
    <w:rsid w:val="006E6C5B"/>
    <w:rsid w:val="007033EA"/>
    <w:rsid w:val="007338DF"/>
    <w:rsid w:val="007557DC"/>
    <w:rsid w:val="0076779E"/>
    <w:rsid w:val="007A41ED"/>
    <w:rsid w:val="007A5DCE"/>
    <w:rsid w:val="007C3E91"/>
    <w:rsid w:val="007C490A"/>
    <w:rsid w:val="007D0AB2"/>
    <w:rsid w:val="007E3488"/>
    <w:rsid w:val="00803517"/>
    <w:rsid w:val="00830631"/>
    <w:rsid w:val="00845A36"/>
    <w:rsid w:val="008462C9"/>
    <w:rsid w:val="008970CA"/>
    <w:rsid w:val="008A1BE2"/>
    <w:rsid w:val="008A5121"/>
    <w:rsid w:val="008C4A12"/>
    <w:rsid w:val="008D4414"/>
    <w:rsid w:val="00942695"/>
    <w:rsid w:val="00946CCA"/>
    <w:rsid w:val="00953A18"/>
    <w:rsid w:val="00973222"/>
    <w:rsid w:val="00976FD3"/>
    <w:rsid w:val="00984175"/>
    <w:rsid w:val="00985FCE"/>
    <w:rsid w:val="00986540"/>
    <w:rsid w:val="009C4C4B"/>
    <w:rsid w:val="009D64DF"/>
    <w:rsid w:val="009E5417"/>
    <w:rsid w:val="00A12ECC"/>
    <w:rsid w:val="00A21B21"/>
    <w:rsid w:val="00A37DCF"/>
    <w:rsid w:val="00A839E4"/>
    <w:rsid w:val="00A849A4"/>
    <w:rsid w:val="00A856E3"/>
    <w:rsid w:val="00AB018B"/>
    <w:rsid w:val="00AD7C71"/>
    <w:rsid w:val="00AF5E88"/>
    <w:rsid w:val="00B25D3C"/>
    <w:rsid w:val="00B50A97"/>
    <w:rsid w:val="00B5310A"/>
    <w:rsid w:val="00BB19B6"/>
    <w:rsid w:val="00BD67CB"/>
    <w:rsid w:val="00BF18C2"/>
    <w:rsid w:val="00C24956"/>
    <w:rsid w:val="00C27964"/>
    <w:rsid w:val="00C63C3C"/>
    <w:rsid w:val="00C853E2"/>
    <w:rsid w:val="00CA3D17"/>
    <w:rsid w:val="00CB3254"/>
    <w:rsid w:val="00CB37E8"/>
    <w:rsid w:val="00CC79A3"/>
    <w:rsid w:val="00CE6D47"/>
    <w:rsid w:val="00CF31D0"/>
    <w:rsid w:val="00D12261"/>
    <w:rsid w:val="00D1619F"/>
    <w:rsid w:val="00DA0186"/>
    <w:rsid w:val="00DB53D2"/>
    <w:rsid w:val="00DE788F"/>
    <w:rsid w:val="00E13B0B"/>
    <w:rsid w:val="00E237A1"/>
    <w:rsid w:val="00E32601"/>
    <w:rsid w:val="00E434E3"/>
    <w:rsid w:val="00E67A9D"/>
    <w:rsid w:val="00E73033"/>
    <w:rsid w:val="00E81964"/>
    <w:rsid w:val="00E8680A"/>
    <w:rsid w:val="00F11BB4"/>
    <w:rsid w:val="00F21FAA"/>
    <w:rsid w:val="00F77642"/>
    <w:rsid w:val="00F84493"/>
    <w:rsid w:val="00FE0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decuerpo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decuerpoCar">
    <w:name w:val="Texto de cuerpo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decuerpo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decuerpo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hps">
    <w:name w:val="hps"/>
    <w:basedOn w:val="Fuentedeprrafopredeter"/>
    <w:rsid w:val="00FE0E8E"/>
  </w:style>
  <w:style w:type="character" w:customStyle="1" w:styleId="atn">
    <w:name w:val="atn"/>
    <w:basedOn w:val="Fuentedeprrafopredeter"/>
    <w:rsid w:val="007D0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aliases w:val="SOP heading - 1st row,h-manual"/>
    <w:basedOn w:val="Normal"/>
    <w:next w:val="Normal"/>
    <w:link w:val="Ttulo1Car"/>
    <w:qFormat/>
    <w:rsid w:val="008A1BE2"/>
    <w:pPr>
      <w:keepNext/>
      <w:spacing w:before="240" w:after="120"/>
      <w:outlineLvl w:val="0"/>
    </w:pPr>
    <w:rPr>
      <w:rFonts w:ascii="Arial" w:hAnsi="Arial" w:cs="Arial"/>
      <w:b/>
      <w:cap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A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Pheading">
    <w:name w:val="SOP heading"/>
    <w:basedOn w:val="Fuentedeprrafopredeter"/>
    <w:rsid w:val="007557DC"/>
    <w:rPr>
      <w:rFonts w:ascii="Arial" w:hAnsi="Arial" w:cs="Arial" w:hint="default"/>
      <w:b/>
      <w:bCs w:val="0"/>
      <w:sz w:val="22"/>
      <w:bdr w:val="none" w:sz="0" w:space="0" w:color="auto" w:frame="1"/>
    </w:rPr>
  </w:style>
  <w:style w:type="table" w:styleId="Tablaconcuadrcula">
    <w:name w:val="Table Grid"/>
    <w:basedOn w:val="Tablanormal"/>
    <w:uiPriority w:val="59"/>
    <w:rsid w:val="00755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B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B4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8035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A0CB4"/>
    <w:rPr>
      <w:color w:val="0000FF" w:themeColor="hyperlink"/>
      <w:u w:val="single"/>
    </w:rPr>
  </w:style>
  <w:style w:type="character" w:customStyle="1" w:styleId="Ttulo1Car">
    <w:name w:val="Título 1 Car"/>
    <w:aliases w:val="SOP heading - 1st row Car,h-manual Car"/>
    <w:basedOn w:val="Fuentedeprrafopredeter"/>
    <w:link w:val="Ttulo1"/>
    <w:rsid w:val="008A1BE2"/>
    <w:rPr>
      <w:rFonts w:ascii="Arial" w:eastAsia="Times New Roman" w:hAnsi="Arial" w:cs="Arial"/>
      <w:b/>
      <w:caps/>
      <w:sz w:val="24"/>
      <w:szCs w:val="24"/>
      <w:lang w:val="en-US"/>
    </w:rPr>
  </w:style>
  <w:style w:type="paragraph" w:customStyle="1" w:styleId="List-Level1">
    <w:name w:val="List- Level 1"/>
    <w:basedOn w:val="Normal"/>
    <w:rsid w:val="008A1BE2"/>
    <w:pPr>
      <w:tabs>
        <w:tab w:val="num" w:pos="720"/>
      </w:tabs>
      <w:spacing w:after="60"/>
      <w:ind w:left="648" w:hanging="288"/>
    </w:pPr>
    <w:rPr>
      <w:rFonts w:ascii="Arial" w:hAnsi="Arial" w:cs="Arial"/>
      <w:szCs w:val="20"/>
      <w:lang w:val="en-US" w:eastAsia="en-US"/>
    </w:rPr>
  </w:style>
  <w:style w:type="paragraph" w:customStyle="1" w:styleId="level1bodystyle">
    <w:name w:val="level 1 body style"/>
    <w:basedOn w:val="Normal"/>
    <w:rsid w:val="008A1BE2"/>
    <w:pPr>
      <w:spacing w:after="120"/>
      <w:ind w:left="360"/>
      <w:outlineLvl w:val="0"/>
    </w:pPr>
    <w:rPr>
      <w:rFonts w:ascii="Arial" w:hAnsi="Arial" w:cs="Arial"/>
      <w:szCs w:val="20"/>
      <w:lang w:val="en-US" w:eastAsia="en-US"/>
    </w:rPr>
  </w:style>
  <w:style w:type="paragraph" w:styleId="Textoindependiente">
    <w:name w:val="Body Text"/>
    <w:basedOn w:val="Normal"/>
    <w:link w:val="TextodecuerpoCar"/>
    <w:semiHidden/>
    <w:rsid w:val="008A1BE2"/>
    <w:pPr>
      <w:spacing w:after="120"/>
      <w:jc w:val="both"/>
    </w:pPr>
    <w:rPr>
      <w:rFonts w:ascii="Arial" w:hAnsi="Arial" w:cs="Arial"/>
      <w:bCs/>
    </w:rPr>
  </w:style>
  <w:style w:type="character" w:customStyle="1" w:styleId="TextodecuerpoCar">
    <w:name w:val="Texto de cuerpo Car"/>
    <w:basedOn w:val="Fuentedeprrafopredeter"/>
    <w:link w:val="Textoindependiente"/>
    <w:semiHidden/>
    <w:rsid w:val="008A1BE2"/>
    <w:rPr>
      <w:rFonts w:ascii="Arial" w:eastAsia="Times New Roman" w:hAnsi="Arial" w:cs="Arial"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CB37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37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7E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7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List-Level3">
    <w:name w:val="List- Level 3"/>
    <w:basedOn w:val="Normal"/>
    <w:rsid w:val="00E67A9D"/>
    <w:pPr>
      <w:spacing w:after="120"/>
      <w:ind w:left="1584" w:hanging="594"/>
    </w:pPr>
    <w:rPr>
      <w:rFonts w:ascii="Arial" w:hAnsi="Arial" w:cs="Arial"/>
      <w:szCs w:val="20"/>
      <w:lang w:val="en-US" w:eastAsia="en-US"/>
    </w:rPr>
  </w:style>
  <w:style w:type="paragraph" w:customStyle="1" w:styleId="level2bodystyle">
    <w:name w:val="level 2  body style"/>
    <w:basedOn w:val="Normal"/>
    <w:rsid w:val="00E67A9D"/>
    <w:pPr>
      <w:spacing w:after="120"/>
      <w:ind w:left="990"/>
      <w:outlineLvl w:val="0"/>
    </w:pPr>
    <w:rPr>
      <w:rFonts w:ascii="Arial" w:hAnsi="Arial" w:cs="Arial"/>
      <w:sz w:val="22"/>
      <w:szCs w:val="20"/>
      <w:lang w:val="en-US" w:eastAsia="en-US"/>
    </w:rPr>
  </w:style>
  <w:style w:type="paragraph" w:customStyle="1" w:styleId="procedurestablestyle">
    <w:name w:val="procedures table style"/>
    <w:basedOn w:val="level1bodystyle"/>
    <w:rsid w:val="00B50A97"/>
    <w:pPr>
      <w:spacing w:after="60"/>
      <w:ind w:left="0"/>
    </w:pPr>
    <w:rPr>
      <w:bCs/>
    </w:rPr>
  </w:style>
  <w:style w:type="paragraph" w:styleId="Sangra3detindependiente">
    <w:name w:val="Body Text Indent 3"/>
    <w:basedOn w:val="Normal"/>
    <w:link w:val="Sangra3detdecuerpoCar"/>
    <w:uiPriority w:val="99"/>
    <w:semiHidden/>
    <w:unhideWhenUsed/>
    <w:rsid w:val="007A41ED"/>
    <w:pPr>
      <w:spacing w:after="120"/>
      <w:ind w:left="283"/>
    </w:pPr>
    <w:rPr>
      <w:sz w:val="16"/>
      <w:szCs w:val="16"/>
    </w:rPr>
  </w:style>
  <w:style w:type="character" w:customStyle="1" w:styleId="Sangra3detdecuerpoCar">
    <w:name w:val="Sangría 3 de t. de cuerpo Car"/>
    <w:basedOn w:val="Fuentedeprrafopredeter"/>
    <w:link w:val="Sangra3detindependiente"/>
    <w:uiPriority w:val="99"/>
    <w:semiHidden/>
    <w:rsid w:val="007A41ED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decuerpoCar"/>
    <w:uiPriority w:val="99"/>
    <w:semiHidden/>
    <w:unhideWhenUsed/>
    <w:rsid w:val="00CC79A3"/>
    <w:pPr>
      <w:spacing w:after="120"/>
      <w:ind w:left="283"/>
    </w:pPr>
  </w:style>
  <w:style w:type="character" w:customStyle="1" w:styleId="SangradetdecuerpoCar">
    <w:name w:val="Sangría de t. de cuerpo Car"/>
    <w:basedOn w:val="Fuentedeprrafopredeter"/>
    <w:link w:val="Sangradetextonormal"/>
    <w:uiPriority w:val="99"/>
    <w:semiHidden/>
    <w:rsid w:val="00CC79A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evel4bodystyle">
    <w:name w:val="Level 4 body style"/>
    <w:basedOn w:val="Normal"/>
    <w:rsid w:val="00DA0186"/>
    <w:pPr>
      <w:spacing w:after="120"/>
      <w:ind w:left="1152"/>
    </w:pPr>
    <w:rPr>
      <w:rFonts w:ascii="Arial" w:hAnsi="Arial" w:cs="Arial"/>
      <w:szCs w:val="20"/>
      <w:lang w:val="en-US" w:eastAsia="en-US"/>
    </w:rPr>
  </w:style>
  <w:style w:type="character" w:customStyle="1" w:styleId="hps">
    <w:name w:val="hps"/>
    <w:basedOn w:val="Fuentedeprrafopredeter"/>
    <w:rsid w:val="00FE0E8E"/>
  </w:style>
  <w:style w:type="character" w:customStyle="1" w:styleId="atn">
    <w:name w:val="atn"/>
    <w:basedOn w:val="Fuentedeprrafopredeter"/>
    <w:rsid w:val="007D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6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7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7252">
                                      <w:marLeft w:val="8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8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833614">
                                              <w:marLeft w:val="0"/>
                                              <w:marRight w:val="0"/>
                                              <w:marTop w:val="0"/>
                                              <w:marBottom w:val="172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20703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4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4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34019">
                                      <w:marLeft w:val="7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6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3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6"/>
                                              <w:divBdr>
                                                <w:top w:val="single" w:sz="8" w:space="0" w:color="F5F5F5"/>
                                                <w:left w:val="single" w:sz="8" w:space="0" w:color="F5F5F5"/>
                                                <w:bottom w:val="single" w:sz="8" w:space="0" w:color="F5F5F5"/>
                                                <w:right w:val="single" w:sz="8" w:space="0" w:color="F5F5F5"/>
                                              </w:divBdr>
                                              <w:divsChild>
                                                <w:div w:id="211520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0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C9E1-5431-41BE-B543-174AA63C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Universitario Facultad de Medicina -UANL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JGGL</dc:creator>
  <cp:lastModifiedBy>Erick Roel</cp:lastModifiedBy>
  <cp:revision>2</cp:revision>
  <cp:lastPrinted>2011-08-12T19:32:00Z</cp:lastPrinted>
  <dcterms:created xsi:type="dcterms:W3CDTF">2022-10-17T14:36:00Z</dcterms:created>
  <dcterms:modified xsi:type="dcterms:W3CDTF">2022-10-17T14:36:00Z</dcterms:modified>
</cp:coreProperties>
</file>