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B4" w:rsidRPr="00927236" w:rsidRDefault="00F11BB4" w:rsidP="00927236">
      <w:pPr>
        <w:contextualSpacing/>
        <w:jc w:val="both"/>
        <w:rPr>
          <w:rFonts w:ascii="Arial" w:hAnsi="Arial" w:cs="Arial"/>
        </w:rPr>
      </w:pPr>
    </w:p>
    <w:p w:rsidR="00F11BB4" w:rsidRPr="00927236" w:rsidRDefault="00803517" w:rsidP="00927236">
      <w:pPr>
        <w:contextualSpacing/>
        <w:jc w:val="both"/>
        <w:rPr>
          <w:rFonts w:ascii="Arial" w:hAnsi="Arial" w:cs="Arial"/>
          <w:b/>
        </w:rPr>
      </w:pPr>
      <w:r w:rsidRPr="00927236">
        <w:rPr>
          <w:rFonts w:ascii="Arial" w:hAnsi="Arial" w:cs="Arial"/>
          <w:b/>
        </w:rPr>
        <w:t>I. PROPÓSITO</w:t>
      </w:r>
    </w:p>
    <w:p w:rsidR="00784AAB" w:rsidRPr="00927236" w:rsidRDefault="00784AAB" w:rsidP="00927236">
      <w:pPr>
        <w:contextualSpacing/>
        <w:jc w:val="both"/>
        <w:rPr>
          <w:rFonts w:ascii="Arial" w:hAnsi="Arial" w:cs="Arial"/>
          <w:b/>
        </w:rPr>
      </w:pPr>
    </w:p>
    <w:p w:rsidR="004D1894" w:rsidRPr="00927236" w:rsidRDefault="00803517" w:rsidP="00927236">
      <w:pPr>
        <w:ind w:firstLine="708"/>
        <w:contextualSpacing/>
        <w:jc w:val="both"/>
        <w:rPr>
          <w:rFonts w:ascii="Arial" w:hAnsi="Arial" w:cs="Arial"/>
        </w:rPr>
      </w:pPr>
      <w:r w:rsidRPr="00927236">
        <w:rPr>
          <w:rFonts w:ascii="Arial" w:hAnsi="Arial" w:cs="Arial"/>
        </w:rPr>
        <w:t>I.1.</w:t>
      </w:r>
      <w:r w:rsidR="004D1894" w:rsidRPr="00927236">
        <w:rPr>
          <w:rFonts w:ascii="Arial" w:hAnsi="Arial" w:cs="Arial"/>
        </w:rPr>
        <w:t xml:space="preserve">Describir </w:t>
      </w:r>
      <w:r w:rsidR="00EA2201" w:rsidRPr="00927236">
        <w:rPr>
          <w:rFonts w:ascii="Arial" w:hAnsi="Arial" w:cs="Arial"/>
        </w:rPr>
        <w:t xml:space="preserve">los </w:t>
      </w:r>
      <w:r w:rsidR="00D21E35" w:rsidRPr="00927236">
        <w:rPr>
          <w:rFonts w:ascii="Arial" w:hAnsi="Arial" w:cs="Arial"/>
        </w:rPr>
        <w:t xml:space="preserve">procesos mediante </w:t>
      </w:r>
      <w:r w:rsidR="00176269" w:rsidRPr="00927236">
        <w:rPr>
          <w:rFonts w:ascii="Arial" w:hAnsi="Arial" w:cs="Arial"/>
        </w:rPr>
        <w:t>se establecen los programas de calidad.</w:t>
      </w:r>
    </w:p>
    <w:p w:rsidR="00D21E35" w:rsidRPr="00927236" w:rsidRDefault="00176269" w:rsidP="00927236">
      <w:pPr>
        <w:ind w:firstLine="708"/>
        <w:contextualSpacing/>
        <w:jc w:val="both"/>
        <w:rPr>
          <w:rFonts w:ascii="Arial" w:hAnsi="Arial" w:cs="Arial"/>
        </w:rPr>
      </w:pPr>
      <w:r w:rsidRPr="00927236">
        <w:rPr>
          <w:rFonts w:ascii="Arial" w:hAnsi="Arial" w:cs="Arial"/>
        </w:rPr>
        <w:t>I.2. Inicia con la implementación de los diferentes programas de calidad.</w:t>
      </w:r>
    </w:p>
    <w:p w:rsidR="00D21E35" w:rsidRPr="00927236" w:rsidRDefault="00A30A67" w:rsidP="00927236">
      <w:pPr>
        <w:ind w:firstLine="708"/>
        <w:contextualSpacing/>
        <w:jc w:val="both"/>
        <w:rPr>
          <w:rFonts w:ascii="Arial" w:hAnsi="Arial" w:cs="Arial"/>
          <w:lang w:val="es-MX"/>
        </w:rPr>
      </w:pPr>
      <w:r w:rsidRPr="00927236">
        <w:rPr>
          <w:rFonts w:ascii="Arial" w:hAnsi="Arial" w:cs="Arial"/>
        </w:rPr>
        <w:t>I.3</w:t>
      </w:r>
      <w:r w:rsidR="000A17AD" w:rsidRPr="00927236">
        <w:rPr>
          <w:rFonts w:ascii="Arial" w:hAnsi="Arial" w:cs="Arial"/>
        </w:rPr>
        <w:t>. Ter</w:t>
      </w:r>
      <w:r w:rsidR="00176269" w:rsidRPr="00927236">
        <w:rPr>
          <w:rFonts w:ascii="Arial" w:hAnsi="Arial" w:cs="Arial"/>
        </w:rPr>
        <w:t>mina cuando la ejecución de los diferentes programas de calidad.</w:t>
      </w:r>
    </w:p>
    <w:p w:rsidR="00CC79A3" w:rsidRPr="00927236" w:rsidRDefault="00CC79A3" w:rsidP="00927236">
      <w:pPr>
        <w:ind w:firstLine="708"/>
        <w:contextualSpacing/>
        <w:jc w:val="both"/>
        <w:rPr>
          <w:rFonts w:ascii="Arial" w:hAnsi="Arial" w:cs="Arial"/>
        </w:rPr>
      </w:pPr>
    </w:p>
    <w:p w:rsidR="00803517" w:rsidRPr="00927236" w:rsidRDefault="00803517" w:rsidP="00927236">
      <w:pPr>
        <w:contextualSpacing/>
        <w:jc w:val="both"/>
        <w:rPr>
          <w:rFonts w:ascii="Arial" w:hAnsi="Arial" w:cs="Arial"/>
          <w:b/>
        </w:rPr>
      </w:pPr>
    </w:p>
    <w:p w:rsidR="00803517" w:rsidRPr="00927236" w:rsidRDefault="00803517" w:rsidP="00927236">
      <w:pPr>
        <w:contextualSpacing/>
        <w:jc w:val="both"/>
        <w:rPr>
          <w:rFonts w:ascii="Arial" w:hAnsi="Arial" w:cs="Arial"/>
          <w:b/>
        </w:rPr>
      </w:pPr>
      <w:r w:rsidRPr="00927236">
        <w:rPr>
          <w:rFonts w:ascii="Arial" w:hAnsi="Arial" w:cs="Arial"/>
          <w:b/>
        </w:rPr>
        <w:t>II. REVISIONES DE VERSIONES PREVIAS</w:t>
      </w:r>
    </w:p>
    <w:p w:rsidR="00784AAB" w:rsidRPr="00927236" w:rsidRDefault="00784AAB" w:rsidP="00927236">
      <w:pPr>
        <w:contextualSpacing/>
        <w:jc w:val="both"/>
        <w:rPr>
          <w:rFonts w:ascii="Arial" w:hAnsi="Arial" w:cs="Arial"/>
          <w:b/>
        </w:rPr>
      </w:pPr>
    </w:p>
    <w:p w:rsidR="00803517" w:rsidRPr="00927236" w:rsidRDefault="00CB37E8" w:rsidP="00927236">
      <w:pPr>
        <w:ind w:firstLine="708"/>
        <w:contextualSpacing/>
        <w:jc w:val="both"/>
        <w:rPr>
          <w:rFonts w:ascii="Arial" w:hAnsi="Arial" w:cs="Arial"/>
        </w:rPr>
      </w:pPr>
      <w:r w:rsidRPr="00927236">
        <w:rPr>
          <w:rFonts w:ascii="Arial" w:hAnsi="Arial" w:cs="Arial"/>
        </w:rPr>
        <w:t>Ninguna</w:t>
      </w:r>
    </w:p>
    <w:p w:rsidR="00803517" w:rsidRPr="00927236" w:rsidRDefault="00803517" w:rsidP="00927236">
      <w:pPr>
        <w:contextualSpacing/>
        <w:jc w:val="both"/>
        <w:rPr>
          <w:rFonts w:ascii="Arial" w:hAnsi="Arial" w:cs="Arial"/>
          <w:b/>
        </w:rPr>
      </w:pPr>
    </w:p>
    <w:p w:rsidR="00803517" w:rsidRPr="00927236" w:rsidRDefault="00803517" w:rsidP="00927236">
      <w:pPr>
        <w:contextualSpacing/>
        <w:jc w:val="both"/>
        <w:rPr>
          <w:rFonts w:ascii="Arial" w:hAnsi="Arial" w:cs="Arial"/>
          <w:b/>
        </w:rPr>
      </w:pPr>
      <w:r w:rsidRPr="00927236">
        <w:rPr>
          <w:rFonts w:ascii="Arial" w:hAnsi="Arial" w:cs="Arial"/>
          <w:b/>
        </w:rPr>
        <w:t>III. POLÍTICAS</w:t>
      </w:r>
    </w:p>
    <w:p w:rsidR="005E10C3" w:rsidRPr="00927236" w:rsidRDefault="005E10C3" w:rsidP="00927236">
      <w:pPr>
        <w:contextualSpacing/>
        <w:jc w:val="both"/>
        <w:rPr>
          <w:rFonts w:ascii="Arial" w:hAnsi="Arial" w:cs="Arial"/>
          <w:b/>
        </w:rPr>
      </w:pPr>
    </w:p>
    <w:p w:rsidR="00E35A61" w:rsidRPr="00927236" w:rsidRDefault="00E35A61" w:rsidP="00927236">
      <w:pPr>
        <w:spacing w:after="120"/>
        <w:ind w:left="288"/>
        <w:contextualSpacing/>
        <w:jc w:val="both"/>
        <w:rPr>
          <w:rFonts w:ascii="Arial" w:hAnsi="Arial" w:cs="Arial"/>
          <w:color w:val="000000"/>
        </w:rPr>
      </w:pPr>
      <w:r w:rsidRPr="00927236">
        <w:rPr>
          <w:rFonts w:ascii="Arial" w:hAnsi="Arial" w:cs="Arial"/>
          <w:color w:val="000000"/>
        </w:rPr>
        <w:t xml:space="preserve">El </w:t>
      </w:r>
      <w:r w:rsidR="00420D83" w:rsidRPr="00927236">
        <w:rPr>
          <w:rFonts w:ascii="Arial" w:hAnsi="Arial" w:cs="Arial"/>
          <w:color w:val="000000"/>
        </w:rPr>
        <w:t>CEI</w:t>
      </w:r>
      <w:r w:rsidRPr="00927236">
        <w:rPr>
          <w:rFonts w:ascii="Arial" w:hAnsi="Arial" w:cs="Arial"/>
          <w:color w:val="000000"/>
        </w:rPr>
        <w:t xml:space="preserve"> reconoce que ciertas agencias regulatorias tienen la autoridad de auditar las operaciones de los </w:t>
      </w:r>
      <w:r w:rsidR="0057605F" w:rsidRPr="00927236">
        <w:rPr>
          <w:rFonts w:ascii="Arial" w:hAnsi="Arial" w:cs="Arial"/>
          <w:color w:val="000000"/>
        </w:rPr>
        <w:t>CEI</w:t>
      </w:r>
      <w:r w:rsidRPr="00927236">
        <w:rPr>
          <w:rFonts w:ascii="Arial" w:hAnsi="Arial" w:cs="Arial"/>
          <w:color w:val="000000"/>
        </w:rPr>
        <w:t>, y apoya tales auditorías como parte de su continuo esfuerzo para mantener un nivel alto para la investigación de protección humana.</w:t>
      </w:r>
    </w:p>
    <w:p w:rsidR="00E35A61" w:rsidRPr="00927236" w:rsidRDefault="00E35A61" w:rsidP="00927236">
      <w:pPr>
        <w:pStyle w:val="Sangradetextonormal"/>
        <w:contextualSpacing/>
        <w:jc w:val="both"/>
        <w:rPr>
          <w:rFonts w:ascii="Arial" w:hAnsi="Arial" w:cs="Arial"/>
          <w:color w:val="000000"/>
        </w:rPr>
      </w:pPr>
      <w:r w:rsidRPr="00927236">
        <w:rPr>
          <w:rFonts w:ascii="Arial" w:hAnsi="Arial" w:cs="Arial"/>
          <w:color w:val="000000"/>
        </w:rPr>
        <w:t xml:space="preserve">Las entidades que pueden auditar al los </w:t>
      </w:r>
      <w:r w:rsidR="0057605F" w:rsidRPr="00927236">
        <w:rPr>
          <w:rFonts w:ascii="Arial" w:hAnsi="Arial" w:cs="Arial"/>
          <w:color w:val="000000"/>
        </w:rPr>
        <w:t>CEI</w:t>
      </w:r>
      <w:r w:rsidR="00CF05D2" w:rsidRPr="00927236">
        <w:rPr>
          <w:rFonts w:ascii="Arial" w:hAnsi="Arial" w:cs="Arial"/>
          <w:color w:val="000000"/>
        </w:rPr>
        <w:t xml:space="preserve"> incluyen: La Secretaria de Salud, COFEPRIS, otras agencias regulatorias mexicanas</w:t>
      </w:r>
      <w:r w:rsidRPr="00927236">
        <w:rPr>
          <w:rFonts w:ascii="Arial" w:hAnsi="Arial" w:cs="Arial"/>
          <w:color w:val="000000"/>
        </w:rPr>
        <w:t>, la FDA, y los auditores certificados apropiados de los países extranjeros en donde los datos de la investigación clínica han sido presentados en una aplicación para la aprobación de medicamentos o dispositivos.  Los patrocinadores o las entidades que financian la investigación pueden también ser autorizados para auditar documentos y procedimientos específicos.</w:t>
      </w:r>
    </w:p>
    <w:p w:rsidR="00E35A61" w:rsidRPr="00927236" w:rsidRDefault="00E35A61" w:rsidP="00927236">
      <w:pPr>
        <w:pStyle w:val="Sangradetextonormal"/>
        <w:contextualSpacing/>
        <w:jc w:val="both"/>
        <w:rPr>
          <w:rFonts w:ascii="Arial" w:hAnsi="Arial" w:cs="Arial"/>
          <w:color w:val="000000"/>
        </w:rPr>
      </w:pPr>
    </w:p>
    <w:p w:rsidR="00E35A61" w:rsidRPr="00927236" w:rsidRDefault="00E35A61" w:rsidP="00927236">
      <w:pPr>
        <w:pStyle w:val="Ttulo2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27236">
        <w:rPr>
          <w:rFonts w:ascii="Arial" w:hAnsi="Arial" w:cs="Arial"/>
          <w:color w:val="000000"/>
          <w:sz w:val="24"/>
          <w:szCs w:val="24"/>
        </w:rPr>
        <w:t>Políticas específicas</w:t>
      </w:r>
    </w:p>
    <w:p w:rsidR="00E35A61" w:rsidRPr="00927236" w:rsidRDefault="00E35A61" w:rsidP="00927236">
      <w:pPr>
        <w:pStyle w:val="Ttulo2"/>
        <w:ind w:left="57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27236">
        <w:rPr>
          <w:rFonts w:ascii="Arial" w:hAnsi="Arial" w:cs="Arial"/>
          <w:color w:val="000000"/>
          <w:sz w:val="24"/>
          <w:szCs w:val="24"/>
        </w:rPr>
        <w:t>1.1 Preparación para una Auditoría</w:t>
      </w:r>
    </w:p>
    <w:p w:rsidR="00E35A61" w:rsidRPr="00927236" w:rsidRDefault="00E35A61" w:rsidP="00927236">
      <w:pPr>
        <w:pStyle w:val="level2bodystyle"/>
        <w:contextualSpacing/>
        <w:jc w:val="both"/>
        <w:rPr>
          <w:color w:val="000000"/>
          <w:sz w:val="24"/>
          <w:szCs w:val="24"/>
          <w:lang w:val="es-ES"/>
        </w:rPr>
      </w:pPr>
      <w:r w:rsidRPr="00927236">
        <w:rPr>
          <w:color w:val="000000"/>
          <w:sz w:val="24"/>
          <w:szCs w:val="24"/>
          <w:lang w:val="es-ES"/>
        </w:rPr>
        <w:t>1.1.1 Para las auditorías externas que involucran SSA, OHRP o la FDA, lo siguiente debe ser llevado a cabo inmediatamente:</w:t>
      </w:r>
    </w:p>
    <w:p w:rsidR="00E35A61" w:rsidRPr="00927236" w:rsidRDefault="00E35A61" w:rsidP="00927236">
      <w:pPr>
        <w:pStyle w:val="List-Level2"/>
        <w:numPr>
          <w:ilvl w:val="0"/>
          <w:numId w:val="19"/>
        </w:numPr>
        <w:contextualSpacing/>
        <w:jc w:val="both"/>
        <w:rPr>
          <w:color w:val="000000"/>
          <w:sz w:val="24"/>
          <w:szCs w:val="24"/>
          <w:lang w:val="es-ES"/>
        </w:rPr>
      </w:pPr>
      <w:r w:rsidRPr="00927236">
        <w:rPr>
          <w:color w:val="000000"/>
          <w:sz w:val="24"/>
          <w:szCs w:val="24"/>
          <w:lang w:val="es-ES"/>
        </w:rPr>
        <w:t>Notificar al Director de la Facultad de Me</w:t>
      </w:r>
      <w:r w:rsidR="00927236">
        <w:rPr>
          <w:color w:val="000000"/>
          <w:sz w:val="24"/>
          <w:szCs w:val="24"/>
          <w:lang w:val="es-ES"/>
        </w:rPr>
        <w:t>dicina y Hospital Universitario.</w:t>
      </w:r>
    </w:p>
    <w:p w:rsidR="00E35A61" w:rsidRPr="00927236" w:rsidRDefault="00E35A61" w:rsidP="00927236">
      <w:pPr>
        <w:pStyle w:val="List-Level2"/>
        <w:numPr>
          <w:ilvl w:val="0"/>
          <w:numId w:val="19"/>
        </w:numPr>
        <w:contextualSpacing/>
        <w:jc w:val="both"/>
        <w:rPr>
          <w:color w:val="000000"/>
          <w:sz w:val="24"/>
          <w:szCs w:val="24"/>
          <w:lang w:val="es-MX"/>
        </w:rPr>
      </w:pPr>
      <w:r w:rsidRPr="00927236">
        <w:rPr>
          <w:color w:val="000000"/>
          <w:sz w:val="24"/>
          <w:szCs w:val="24"/>
          <w:lang w:val="es-MX"/>
        </w:rPr>
        <w:t xml:space="preserve">Notificar al Presidente del </w:t>
      </w:r>
      <w:r w:rsidR="00420D83" w:rsidRPr="00927236">
        <w:rPr>
          <w:color w:val="000000"/>
          <w:sz w:val="24"/>
          <w:szCs w:val="24"/>
          <w:lang w:val="es-ES"/>
        </w:rPr>
        <w:t>CEI</w:t>
      </w:r>
    </w:p>
    <w:p w:rsidR="00E35A61" w:rsidRPr="00927236" w:rsidRDefault="00E35A61" w:rsidP="00927236">
      <w:pPr>
        <w:pStyle w:val="level2bodystyle"/>
        <w:numPr>
          <w:ilvl w:val="0"/>
          <w:numId w:val="19"/>
        </w:numPr>
        <w:contextualSpacing/>
        <w:jc w:val="both"/>
        <w:rPr>
          <w:color w:val="000000"/>
          <w:sz w:val="24"/>
          <w:szCs w:val="24"/>
          <w:lang w:val="es-ES"/>
        </w:rPr>
      </w:pPr>
      <w:r w:rsidRPr="00927236">
        <w:rPr>
          <w:color w:val="000000"/>
          <w:sz w:val="24"/>
          <w:szCs w:val="24"/>
          <w:lang w:val="es-ES"/>
        </w:rPr>
        <w:t xml:space="preserve">Es requisito que el personal del </w:t>
      </w:r>
      <w:r w:rsidR="00420D83" w:rsidRPr="00927236">
        <w:rPr>
          <w:color w:val="000000"/>
          <w:sz w:val="24"/>
          <w:szCs w:val="24"/>
          <w:lang w:val="es-ES"/>
        </w:rPr>
        <w:t>CEI</w:t>
      </w:r>
      <w:r w:rsidRPr="00927236">
        <w:rPr>
          <w:color w:val="000000"/>
          <w:sz w:val="24"/>
          <w:szCs w:val="24"/>
          <w:lang w:val="es-ES"/>
        </w:rPr>
        <w:t xml:space="preserve"> seleccionado para participar en la auditoría siga los pasos esquematizados por esta institución en la preparación del sitio para una auditoría.</w:t>
      </w:r>
    </w:p>
    <w:p w:rsidR="00E35A61" w:rsidRPr="00927236" w:rsidRDefault="00E35A61" w:rsidP="00927236">
      <w:pPr>
        <w:pStyle w:val="Ttulo2"/>
        <w:ind w:left="57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27236">
        <w:rPr>
          <w:rFonts w:ascii="Arial" w:hAnsi="Arial" w:cs="Arial"/>
          <w:color w:val="000000"/>
          <w:sz w:val="24"/>
          <w:szCs w:val="24"/>
        </w:rPr>
        <w:t>1.2 Participando en una Auditoría</w:t>
      </w:r>
    </w:p>
    <w:p w:rsidR="00E35A61" w:rsidRPr="00927236" w:rsidRDefault="00E35A61" w:rsidP="00927236">
      <w:pPr>
        <w:pStyle w:val="List-Level3"/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t xml:space="preserve">1.2.1 El </w:t>
      </w:r>
      <w:r w:rsidR="00420D83" w:rsidRP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 xml:space="preserve"> debe conocer y seguir los procedimientos esquematizados por esta institución para la conducción de una auditoría  regulatoria.</w:t>
      </w:r>
    </w:p>
    <w:p w:rsidR="00E35A61" w:rsidRPr="00927236" w:rsidRDefault="00E35A61" w:rsidP="00927236">
      <w:pPr>
        <w:pStyle w:val="List-Level3"/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lastRenderedPageBreak/>
        <w:t xml:space="preserve">1.2.2 Antes de ser concedido el acceso a la documentación del </w:t>
      </w:r>
      <w:r w:rsidR="00420D83" w:rsidRP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 xml:space="preserve">, los inspectores o  auditores deben presentar la prueba de su autoridad o autorización de conducir la auditoría y del acceso a los documentos del </w:t>
      </w:r>
      <w:r w:rsid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>, y ninguna otra entidad con la excepción de aquellas nombradas en los formatos del consentimiento puede tener acceso a cualquier documento que incluya la identificación de los sujetos.</w:t>
      </w:r>
    </w:p>
    <w:p w:rsidR="00E35A61" w:rsidRPr="00927236" w:rsidRDefault="00E35A61" w:rsidP="00927236">
      <w:pPr>
        <w:pStyle w:val="List-Level3"/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t xml:space="preserve">1.2.3 A los auditores se les proporcionará un área de trabajo adecuada para realizar una auditoría y el personal y miembros del </w:t>
      </w:r>
      <w:r w:rsidR="00420D83" w:rsidRP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 xml:space="preserve"> deben hacer el esfuerzo de estar disponibles y de realizar y apresurar las peticiones de tales auditores.</w:t>
      </w:r>
    </w:p>
    <w:p w:rsidR="00E35A61" w:rsidRPr="00927236" w:rsidRDefault="00E35A61" w:rsidP="00927236">
      <w:pPr>
        <w:pStyle w:val="List-Level3"/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t xml:space="preserve">1.2.4 Los documentos pueden ser copiados y extraídos del sitio solamente por individuos autorizados por escrito por el Presidente del </w:t>
      </w:r>
      <w:r w:rsidR="00420D83" w:rsidRP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>.</w:t>
      </w:r>
    </w:p>
    <w:p w:rsidR="00E35A61" w:rsidRPr="00927236" w:rsidRDefault="00E35A61" w:rsidP="00927236">
      <w:pPr>
        <w:pStyle w:val="Ttulo2"/>
        <w:ind w:left="576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27236">
        <w:rPr>
          <w:rFonts w:ascii="Arial" w:hAnsi="Arial" w:cs="Arial"/>
          <w:color w:val="000000"/>
          <w:sz w:val="24"/>
          <w:szCs w:val="24"/>
        </w:rPr>
        <w:t>1.3 Seguimiento después de una Auditoría</w:t>
      </w:r>
    </w:p>
    <w:p w:rsidR="00E35A61" w:rsidRPr="00927236" w:rsidRDefault="00E35A61" w:rsidP="00927236">
      <w:pPr>
        <w:pStyle w:val="level2bodystyle"/>
        <w:contextualSpacing/>
        <w:jc w:val="both"/>
        <w:rPr>
          <w:color w:val="000000"/>
          <w:sz w:val="24"/>
          <w:szCs w:val="24"/>
          <w:lang w:val="es-ES"/>
        </w:rPr>
      </w:pPr>
      <w:r w:rsidRPr="00927236">
        <w:rPr>
          <w:color w:val="000000"/>
          <w:sz w:val="24"/>
          <w:szCs w:val="24"/>
          <w:lang w:val="es-ES"/>
        </w:rPr>
        <w:t>Los reportes de la auditoría, ya sean verbales o escritos, deben ser enviados cuanto antes después de la auditoría.</w:t>
      </w:r>
    </w:p>
    <w:p w:rsidR="00E35A61" w:rsidRPr="00927236" w:rsidRDefault="00E35A61" w:rsidP="00927236">
      <w:pPr>
        <w:pStyle w:val="Sangradetextonormal"/>
        <w:contextualSpacing/>
        <w:jc w:val="both"/>
        <w:rPr>
          <w:rFonts w:ascii="Arial" w:hAnsi="Arial" w:cs="Arial"/>
          <w:color w:val="000000"/>
        </w:rPr>
      </w:pPr>
    </w:p>
    <w:p w:rsidR="00E67A9D" w:rsidRPr="00927236" w:rsidRDefault="00E67A9D" w:rsidP="00927236">
      <w:pPr>
        <w:contextualSpacing/>
        <w:jc w:val="both"/>
        <w:rPr>
          <w:rFonts w:ascii="Arial" w:hAnsi="Arial" w:cs="Arial"/>
          <w:b/>
        </w:rPr>
      </w:pPr>
    </w:p>
    <w:p w:rsidR="00803517" w:rsidRPr="00927236" w:rsidRDefault="00803517" w:rsidP="00927236">
      <w:pPr>
        <w:contextualSpacing/>
        <w:jc w:val="both"/>
        <w:rPr>
          <w:rFonts w:ascii="Arial" w:hAnsi="Arial" w:cs="Arial"/>
          <w:b/>
        </w:rPr>
      </w:pPr>
      <w:r w:rsidRPr="00927236">
        <w:rPr>
          <w:rFonts w:ascii="Arial" w:hAnsi="Arial" w:cs="Arial"/>
          <w:b/>
        </w:rPr>
        <w:t>IV. RESPONSABILIDADES</w:t>
      </w:r>
    </w:p>
    <w:p w:rsidR="001B213D" w:rsidRPr="00927236" w:rsidRDefault="001B213D" w:rsidP="00927236">
      <w:pPr>
        <w:contextualSpacing/>
        <w:jc w:val="both"/>
        <w:rPr>
          <w:rFonts w:ascii="Arial" w:hAnsi="Arial" w:cs="Arial"/>
          <w:b/>
        </w:rPr>
      </w:pPr>
    </w:p>
    <w:p w:rsidR="00E35A61" w:rsidRPr="00927236" w:rsidRDefault="00E35A61" w:rsidP="00927236">
      <w:pPr>
        <w:pStyle w:val="level1bodystyle"/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t xml:space="preserve">El Presidente del </w:t>
      </w:r>
      <w:r w:rsid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 xml:space="preserve">  es el responsable de servir como el funcionario institucional responsable en todos los asuntos de la agencia regulatoria con respecto al cumplimiento, participando según sea necesario en auditorías de la agencia regulatoria, y brindando apoyo respondiendo y corrigiendo los resultados de la auditoría.</w:t>
      </w:r>
    </w:p>
    <w:p w:rsidR="00E35A61" w:rsidRPr="00927236" w:rsidRDefault="00E35A61" w:rsidP="00927236">
      <w:pPr>
        <w:pStyle w:val="level1bodystyle"/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t xml:space="preserve">El Presidente del </w:t>
      </w:r>
      <w:r w:rsid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 xml:space="preserve">  es responsable de toda la correspondencia e interacciones formales de la agencia regulatoria, estableciendo apoyo en la logística durante las auditorías, sirviendo como contacto fundamental de la institución durante tales auditorías, y extendiendo respuesta a la correspondencia de la agencia regulatoria recibida después de tales auditorías.</w:t>
      </w:r>
    </w:p>
    <w:p w:rsidR="00E35A61" w:rsidRPr="00927236" w:rsidRDefault="00E35A61" w:rsidP="00927236">
      <w:pPr>
        <w:pStyle w:val="level1bodystyle"/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t xml:space="preserve">El presidente, los miembros y el personal del </w:t>
      </w:r>
      <w:r w:rsidR="00420D83" w:rsidRP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 xml:space="preserve"> son responsables de participar en auditorías de la agencia regulatoria según lo determinado por el Director del </w:t>
      </w:r>
      <w:r w:rsidR="00420D83" w:rsidRP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>, y de la completa cooperación con los oficiales de gobierno durante su participación en tales auditorías.</w:t>
      </w:r>
    </w:p>
    <w:p w:rsidR="00E35A61" w:rsidRPr="00927236" w:rsidRDefault="00E35A61" w:rsidP="00927236">
      <w:pPr>
        <w:pStyle w:val="level1bodystyle"/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t xml:space="preserve">El presidente del </w:t>
      </w:r>
      <w:r w:rsidR="00420D83" w:rsidRP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 xml:space="preserve"> es responsable de ayudar al Director de la Facultad de Medicina y Hospital Universitario con respuestas formales de las auditorías de la agencia regulatoria y de implementar los cambios de la política y procedimientos indicados por tales auditorías.</w:t>
      </w:r>
    </w:p>
    <w:p w:rsidR="008A1BE2" w:rsidRPr="00927236" w:rsidRDefault="008A1BE2" w:rsidP="00927236">
      <w:pPr>
        <w:contextualSpacing/>
        <w:jc w:val="both"/>
        <w:rPr>
          <w:rFonts w:ascii="Arial" w:hAnsi="Arial" w:cs="Arial"/>
          <w:b/>
        </w:rPr>
      </w:pPr>
    </w:p>
    <w:p w:rsidR="001B213D" w:rsidRPr="00927236" w:rsidRDefault="001B213D" w:rsidP="00927236">
      <w:pPr>
        <w:contextualSpacing/>
        <w:jc w:val="both"/>
        <w:rPr>
          <w:rFonts w:ascii="Arial" w:hAnsi="Arial" w:cs="Arial"/>
          <w:b/>
        </w:rPr>
      </w:pPr>
      <w:r w:rsidRPr="00927236">
        <w:rPr>
          <w:rFonts w:ascii="Arial" w:hAnsi="Arial" w:cs="Arial"/>
          <w:b/>
        </w:rPr>
        <w:lastRenderedPageBreak/>
        <w:t>V. ALCANCE</w:t>
      </w:r>
    </w:p>
    <w:p w:rsidR="00CC79A3" w:rsidRPr="00927236" w:rsidRDefault="00CC79A3" w:rsidP="00927236">
      <w:pPr>
        <w:contextualSpacing/>
        <w:jc w:val="both"/>
        <w:rPr>
          <w:rFonts w:ascii="Arial" w:hAnsi="Arial" w:cs="Arial"/>
          <w:b/>
        </w:rPr>
      </w:pPr>
    </w:p>
    <w:p w:rsidR="00E35A61" w:rsidRPr="00927236" w:rsidRDefault="00E35A61" w:rsidP="00927236">
      <w:pPr>
        <w:pStyle w:val="Ttulo1"/>
        <w:contextualSpacing/>
        <w:jc w:val="both"/>
        <w:rPr>
          <w:color w:val="000000"/>
          <w:lang w:val="es-ES"/>
        </w:rPr>
      </w:pPr>
      <w:r w:rsidRPr="00927236">
        <w:rPr>
          <w:b w:val="0"/>
          <w:bCs/>
          <w:caps w:val="0"/>
          <w:color w:val="000000"/>
          <w:lang w:val="es-ES"/>
        </w:rPr>
        <w:t xml:space="preserve">Estas políticas y procedimientos se aplican al </w:t>
      </w:r>
      <w:r w:rsidR="00420D83" w:rsidRPr="00927236">
        <w:rPr>
          <w:b w:val="0"/>
          <w:bCs/>
          <w:caps w:val="0"/>
          <w:color w:val="000000"/>
          <w:lang w:val="es-ES"/>
        </w:rPr>
        <w:t>CEI</w:t>
      </w:r>
      <w:r w:rsidRPr="00927236">
        <w:rPr>
          <w:b w:val="0"/>
          <w:bCs/>
          <w:caps w:val="0"/>
          <w:color w:val="000000"/>
          <w:lang w:val="es-ES"/>
        </w:rPr>
        <w:t>.</w:t>
      </w:r>
    </w:p>
    <w:p w:rsidR="008A07E7" w:rsidRPr="00927236" w:rsidRDefault="008A07E7" w:rsidP="00927236">
      <w:pPr>
        <w:contextualSpacing/>
        <w:jc w:val="both"/>
        <w:rPr>
          <w:rFonts w:ascii="Arial" w:hAnsi="Arial" w:cs="Arial"/>
          <w:b/>
        </w:rPr>
      </w:pPr>
    </w:p>
    <w:p w:rsidR="00803517" w:rsidRPr="00927236" w:rsidRDefault="00803517" w:rsidP="00927236">
      <w:pPr>
        <w:contextualSpacing/>
        <w:jc w:val="both"/>
        <w:rPr>
          <w:rFonts w:ascii="Arial" w:hAnsi="Arial" w:cs="Arial"/>
          <w:b/>
        </w:rPr>
      </w:pPr>
      <w:r w:rsidRPr="00927236">
        <w:rPr>
          <w:rFonts w:ascii="Arial" w:hAnsi="Arial" w:cs="Arial"/>
          <w:b/>
        </w:rPr>
        <w:t>V. PROCEDIMIENTO</w:t>
      </w:r>
    </w:p>
    <w:p w:rsidR="007A41ED" w:rsidRPr="00927236" w:rsidRDefault="007A41ED" w:rsidP="0092723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lang w:val="es-MX"/>
        </w:rPr>
      </w:pPr>
    </w:p>
    <w:p w:rsidR="00E35A61" w:rsidRPr="00927236" w:rsidRDefault="00E35A61" w:rsidP="00927236">
      <w:pPr>
        <w:pStyle w:val="level1bodystyle"/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t xml:space="preserve">Proporciona lineamientos referentes a la preparación para las auditorías regulatorias del </w:t>
      </w:r>
      <w:r w:rsidR="00927236">
        <w:rPr>
          <w:color w:val="000000"/>
          <w:szCs w:val="24"/>
          <w:lang w:val="es-ES"/>
        </w:rPr>
        <w:t>CEI</w:t>
      </w:r>
      <w:r w:rsidRPr="00927236">
        <w:rPr>
          <w:color w:val="000000"/>
          <w:szCs w:val="24"/>
          <w:lang w:val="es-ES"/>
        </w:rPr>
        <w:t xml:space="preserve"> y del comportamiento apropiado hacia los reguladores</w:t>
      </w:r>
    </w:p>
    <w:p w:rsidR="00E35A61" w:rsidRPr="00927236" w:rsidRDefault="00E35A61" w:rsidP="00927236">
      <w:pPr>
        <w:pStyle w:val="level1bodystyle"/>
        <w:contextualSpacing/>
        <w:jc w:val="both"/>
        <w:rPr>
          <w:color w:val="000000"/>
          <w:szCs w:val="24"/>
          <w:lang w:val="es-ES"/>
        </w:rPr>
      </w:pPr>
    </w:p>
    <w:p w:rsidR="00E35A61" w:rsidRPr="00927236" w:rsidRDefault="00E35A61" w:rsidP="00927236">
      <w:pPr>
        <w:pStyle w:val="level1bodystyle"/>
        <w:contextualSpacing/>
        <w:jc w:val="both"/>
        <w:rPr>
          <w:color w:val="000000"/>
          <w:szCs w:val="24"/>
          <w:lang w:val="es-E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250"/>
        <w:gridCol w:w="3562"/>
        <w:gridCol w:w="2700"/>
      </w:tblGrid>
      <w:tr w:rsidR="00E35A61" w:rsidRPr="00927236" w:rsidTr="0062517A">
        <w:trPr>
          <w:cantSplit/>
        </w:trPr>
        <w:tc>
          <w:tcPr>
            <w:tcW w:w="2250" w:type="dxa"/>
            <w:tcBorders>
              <w:top w:val="single" w:sz="6" w:space="0" w:color="FFFFFF"/>
              <w:left w:val="single" w:sz="36" w:space="0" w:color="FFFFFF"/>
              <w:bottom w:val="single" w:sz="36" w:space="0" w:color="FFFFFF"/>
              <w:right w:val="single" w:sz="6" w:space="0" w:color="FFFFFF"/>
            </w:tcBorders>
            <w:shd w:val="pct10" w:color="000000" w:fill="FFFFFF"/>
          </w:tcPr>
          <w:p w:rsidR="00E35A61" w:rsidRPr="00927236" w:rsidRDefault="00E35A61" w:rsidP="0092723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927236">
              <w:rPr>
                <w:rFonts w:ascii="Arial" w:hAnsi="Arial" w:cs="Arial"/>
                <w:b/>
                <w:color w:val="000000"/>
              </w:rPr>
              <w:t>Quién</w:t>
            </w:r>
          </w:p>
        </w:tc>
        <w:tc>
          <w:tcPr>
            <w:tcW w:w="3562" w:type="dxa"/>
            <w:tcBorders>
              <w:top w:val="single" w:sz="6" w:space="0" w:color="FFFFFF"/>
              <w:left w:val="single" w:sz="6" w:space="0" w:color="FFFFFF"/>
              <w:bottom w:val="single" w:sz="36" w:space="0" w:color="FFFFFF"/>
              <w:right w:val="single" w:sz="6" w:space="0" w:color="FFFFFF"/>
            </w:tcBorders>
            <w:shd w:val="pct10" w:color="000000" w:fill="FFFFFF"/>
          </w:tcPr>
          <w:p w:rsidR="00E35A61" w:rsidRPr="00927236" w:rsidRDefault="00E35A61" w:rsidP="0092723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927236">
              <w:rPr>
                <w:rFonts w:ascii="Arial" w:hAnsi="Arial" w:cs="Arial"/>
                <w:b/>
                <w:color w:val="000000"/>
              </w:rPr>
              <w:t>Tarea</w:t>
            </w:r>
          </w:p>
        </w:tc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36" w:space="0" w:color="FFFFFF"/>
              <w:right w:val="single" w:sz="36" w:space="0" w:color="FFFFFF"/>
            </w:tcBorders>
            <w:shd w:val="pct10" w:color="000000" w:fill="FFFFFF"/>
          </w:tcPr>
          <w:p w:rsidR="00E35A61" w:rsidRPr="00927236" w:rsidRDefault="00E35A61" w:rsidP="00927236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927236">
              <w:rPr>
                <w:rFonts w:ascii="Arial" w:hAnsi="Arial" w:cs="Arial"/>
                <w:b/>
                <w:color w:val="000000"/>
              </w:rPr>
              <w:t>Herramienta</w:t>
            </w:r>
          </w:p>
        </w:tc>
      </w:tr>
      <w:tr w:rsidR="00E35A61" w:rsidRPr="00927236" w:rsidTr="0062517A">
        <w:trPr>
          <w:cantSplit/>
        </w:trPr>
        <w:tc>
          <w:tcPr>
            <w:tcW w:w="2250" w:type="dxa"/>
            <w:tcBorders>
              <w:top w:val="single" w:sz="36" w:space="0" w:color="FFFFFF"/>
              <w:left w:val="single" w:sz="36" w:space="0" w:color="FFFFFF"/>
              <w:bottom w:val="single" w:sz="6" w:space="0" w:color="FFFFFF"/>
              <w:right w:val="single" w:sz="6" w:space="0" w:color="FFFFFF"/>
            </w:tcBorders>
            <w:shd w:val="pct5" w:color="000000" w:fill="FFFFFF"/>
          </w:tcPr>
          <w:p w:rsidR="00E35A61" w:rsidRPr="00927236" w:rsidRDefault="00E35A61" w:rsidP="00927236">
            <w:pPr>
              <w:pStyle w:val="procedurestablestyle"/>
              <w:contextualSpacing/>
              <w:jc w:val="both"/>
              <w:rPr>
                <w:color w:val="000000"/>
                <w:szCs w:val="24"/>
                <w:lang w:val="es-ES"/>
              </w:rPr>
            </w:pPr>
            <w:r w:rsidRPr="00927236">
              <w:rPr>
                <w:i/>
                <w:color w:val="000000"/>
                <w:szCs w:val="24"/>
                <w:lang w:val="es-ES"/>
              </w:rPr>
              <w:t xml:space="preserve">Presidente del </w:t>
            </w:r>
            <w:r w:rsidR="00927236">
              <w:rPr>
                <w:i/>
                <w:color w:val="000000"/>
                <w:szCs w:val="24"/>
                <w:lang w:val="es-ES"/>
              </w:rPr>
              <w:t>CEI</w:t>
            </w:r>
            <w:r w:rsidRPr="00927236">
              <w:rPr>
                <w:i/>
                <w:color w:val="000000"/>
                <w:szCs w:val="24"/>
                <w:lang w:val="es-ES"/>
              </w:rPr>
              <w:t xml:space="preserve"> </w:t>
            </w:r>
          </w:p>
        </w:tc>
        <w:tc>
          <w:tcPr>
            <w:tcW w:w="3562" w:type="dxa"/>
            <w:tcBorders>
              <w:top w:val="single" w:sz="3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pct5" w:color="000000" w:fill="FFFFFF"/>
          </w:tcPr>
          <w:p w:rsidR="00E35A61" w:rsidRPr="00927236" w:rsidRDefault="00E35A61" w:rsidP="00927236">
            <w:pPr>
              <w:pStyle w:val="procedurestablestyle"/>
              <w:contextualSpacing/>
              <w:jc w:val="both"/>
              <w:rPr>
                <w:color w:val="000000"/>
                <w:szCs w:val="24"/>
                <w:lang w:val="es-ES"/>
              </w:rPr>
            </w:pPr>
            <w:r w:rsidRPr="00927236">
              <w:rPr>
                <w:color w:val="000000"/>
                <w:szCs w:val="24"/>
                <w:lang w:val="es-ES"/>
              </w:rPr>
              <w:t xml:space="preserve">Al ser notificados de una auditoría inminente, notifica a todo el personal del </w:t>
            </w:r>
            <w:r w:rsidR="00927236">
              <w:rPr>
                <w:color w:val="000000"/>
                <w:szCs w:val="24"/>
                <w:lang w:val="es-ES"/>
              </w:rPr>
              <w:t>CEI</w:t>
            </w:r>
            <w:r w:rsidRPr="00927236">
              <w:rPr>
                <w:color w:val="000000"/>
                <w:szCs w:val="24"/>
                <w:lang w:val="es-ES"/>
              </w:rPr>
              <w:t>, y al personal de cualquier otra entidad institucional designada.</w:t>
            </w:r>
          </w:p>
        </w:tc>
        <w:tc>
          <w:tcPr>
            <w:tcW w:w="2700" w:type="dxa"/>
            <w:tcBorders>
              <w:top w:val="single" w:sz="36" w:space="0" w:color="FFFFFF"/>
              <w:left w:val="single" w:sz="6" w:space="0" w:color="FFFFFF"/>
              <w:bottom w:val="single" w:sz="6" w:space="0" w:color="FFFFFF"/>
              <w:right w:val="single" w:sz="36" w:space="0" w:color="FFFFFF"/>
            </w:tcBorders>
            <w:shd w:val="pct5" w:color="000000" w:fill="FFFFFF"/>
          </w:tcPr>
          <w:p w:rsidR="00E35A61" w:rsidRPr="00927236" w:rsidRDefault="00E35A61" w:rsidP="00927236">
            <w:pPr>
              <w:pStyle w:val="procedurestablestyle"/>
              <w:contextualSpacing/>
              <w:jc w:val="both"/>
              <w:rPr>
                <w:color w:val="000000"/>
                <w:szCs w:val="24"/>
                <w:lang w:val="es-ES"/>
              </w:rPr>
            </w:pPr>
          </w:p>
        </w:tc>
      </w:tr>
      <w:tr w:rsidR="00E35A61" w:rsidRPr="00927236" w:rsidTr="0062517A">
        <w:trPr>
          <w:cantSplit/>
        </w:trPr>
        <w:tc>
          <w:tcPr>
            <w:tcW w:w="2250" w:type="dxa"/>
            <w:tcBorders>
              <w:top w:val="single" w:sz="6" w:space="0" w:color="FFFFFF"/>
              <w:left w:val="single" w:sz="36" w:space="0" w:color="FFFFFF"/>
              <w:bottom w:val="single" w:sz="6" w:space="0" w:color="FFFFFF"/>
              <w:right w:val="single" w:sz="6" w:space="0" w:color="FFFFFF"/>
            </w:tcBorders>
            <w:shd w:val="pct5" w:color="000000" w:fill="FFFFFF"/>
          </w:tcPr>
          <w:p w:rsidR="00E35A61" w:rsidRPr="00927236" w:rsidRDefault="00E35A61" w:rsidP="00927236">
            <w:pPr>
              <w:pStyle w:val="procedurestablestyle"/>
              <w:contextualSpacing/>
              <w:jc w:val="both"/>
              <w:rPr>
                <w:color w:val="000000"/>
                <w:szCs w:val="24"/>
                <w:lang w:val="es-ES"/>
              </w:rPr>
            </w:pPr>
          </w:p>
        </w:tc>
        <w:tc>
          <w:tcPr>
            <w:tcW w:w="356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pct5" w:color="000000" w:fill="FFFFFF"/>
          </w:tcPr>
          <w:p w:rsidR="00E35A61" w:rsidRPr="00927236" w:rsidRDefault="00E35A61" w:rsidP="00927236">
            <w:pPr>
              <w:pStyle w:val="procedurestablestyle"/>
              <w:contextualSpacing/>
              <w:jc w:val="both"/>
              <w:rPr>
                <w:color w:val="000000"/>
                <w:szCs w:val="24"/>
                <w:lang w:val="es-ES"/>
              </w:rPr>
            </w:pPr>
            <w:r w:rsidRPr="00927236">
              <w:rPr>
                <w:color w:val="000000"/>
                <w:szCs w:val="24"/>
                <w:lang w:val="es-ES"/>
              </w:rPr>
              <w:t>Utilizando la lista de control de Preparación de Auditoría, asigna las responsabilidades según lo indicado en la lista de control</w:t>
            </w:r>
          </w:p>
        </w:tc>
        <w:tc>
          <w:tcPr>
            <w:tcW w:w="27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36" w:space="0" w:color="FFFFFF"/>
            </w:tcBorders>
            <w:shd w:val="pct5" w:color="000000" w:fill="FFFFFF"/>
          </w:tcPr>
          <w:p w:rsidR="00E35A61" w:rsidRPr="00927236" w:rsidRDefault="00E35A61" w:rsidP="00927236">
            <w:pPr>
              <w:pStyle w:val="procedurestablestyle"/>
              <w:contextualSpacing/>
              <w:jc w:val="both"/>
              <w:rPr>
                <w:color w:val="000000"/>
                <w:szCs w:val="24"/>
                <w:lang w:val="es-ES"/>
              </w:rPr>
            </w:pPr>
            <w:proofErr w:type="gramStart"/>
            <w:r w:rsidRPr="00927236">
              <w:rPr>
                <w:color w:val="000000"/>
                <w:szCs w:val="24"/>
                <w:lang w:val="es-ES"/>
              </w:rPr>
              <w:t>Una</w:t>
            </w:r>
            <w:proofErr w:type="gramEnd"/>
            <w:r w:rsidRPr="00927236">
              <w:rPr>
                <w:color w:val="000000"/>
                <w:szCs w:val="24"/>
                <w:lang w:val="es-ES"/>
              </w:rPr>
              <w:t xml:space="preserve"> auto evaluación de la FDA de la lista de control para los Comités de Ética.</w:t>
            </w:r>
          </w:p>
        </w:tc>
      </w:tr>
    </w:tbl>
    <w:p w:rsidR="00DC0A38" w:rsidRPr="00927236" w:rsidRDefault="00DC0A38" w:rsidP="00927236">
      <w:pPr>
        <w:pStyle w:val="Sangradetextonormal"/>
        <w:contextualSpacing/>
        <w:jc w:val="both"/>
        <w:rPr>
          <w:rFonts w:ascii="Arial" w:hAnsi="Arial" w:cs="Arial"/>
          <w:color w:val="000000"/>
        </w:rPr>
      </w:pPr>
    </w:p>
    <w:p w:rsidR="0098277D" w:rsidRPr="00927236" w:rsidRDefault="0098277D" w:rsidP="00927236">
      <w:pPr>
        <w:contextualSpacing/>
        <w:jc w:val="both"/>
        <w:rPr>
          <w:rFonts w:ascii="Arial" w:hAnsi="Arial" w:cs="Arial"/>
          <w:b/>
        </w:rPr>
      </w:pPr>
    </w:p>
    <w:p w:rsidR="0098277D" w:rsidRPr="00927236" w:rsidRDefault="0098277D" w:rsidP="00927236">
      <w:pPr>
        <w:tabs>
          <w:tab w:val="left" w:pos="2889"/>
        </w:tabs>
        <w:contextualSpacing/>
        <w:rPr>
          <w:rFonts w:ascii="Arial" w:hAnsi="Arial" w:cs="Arial"/>
        </w:rPr>
      </w:pPr>
    </w:p>
    <w:p w:rsidR="0098277D" w:rsidRPr="00927236" w:rsidRDefault="0098277D" w:rsidP="00927236">
      <w:pPr>
        <w:tabs>
          <w:tab w:val="left" w:pos="2889"/>
        </w:tabs>
        <w:contextualSpacing/>
        <w:rPr>
          <w:rFonts w:ascii="Arial" w:hAnsi="Arial" w:cs="Arial"/>
        </w:rPr>
      </w:pPr>
    </w:p>
    <w:p w:rsidR="00803517" w:rsidRPr="00927236" w:rsidRDefault="00803517" w:rsidP="00927236">
      <w:pPr>
        <w:contextualSpacing/>
        <w:jc w:val="both"/>
        <w:rPr>
          <w:rFonts w:ascii="Arial" w:hAnsi="Arial" w:cs="Arial"/>
          <w:b/>
        </w:rPr>
      </w:pPr>
      <w:r w:rsidRPr="00927236">
        <w:rPr>
          <w:rFonts w:ascii="Arial" w:hAnsi="Arial" w:cs="Arial"/>
          <w:b/>
        </w:rPr>
        <w:t>VI. MATERIALES</w:t>
      </w:r>
    </w:p>
    <w:p w:rsidR="003D3DE3" w:rsidRPr="00927236" w:rsidRDefault="003D3DE3" w:rsidP="00927236">
      <w:pPr>
        <w:contextualSpacing/>
        <w:jc w:val="both"/>
        <w:rPr>
          <w:rFonts w:ascii="Arial" w:hAnsi="Arial" w:cs="Arial"/>
          <w:b/>
        </w:rPr>
      </w:pPr>
    </w:p>
    <w:p w:rsidR="004C4309" w:rsidRPr="00927236" w:rsidRDefault="00E35A61" w:rsidP="00927236">
      <w:pPr>
        <w:contextualSpacing/>
        <w:rPr>
          <w:rFonts w:ascii="Arial" w:hAnsi="Arial" w:cs="Arial"/>
          <w:b/>
        </w:rPr>
      </w:pPr>
      <w:r w:rsidRPr="00927236">
        <w:rPr>
          <w:rFonts w:ascii="Arial" w:hAnsi="Arial" w:cs="Arial"/>
          <w:color w:val="000000"/>
        </w:rPr>
        <w:t xml:space="preserve">QA 902-A </w:t>
      </w:r>
      <w:r w:rsidRPr="00927236">
        <w:rPr>
          <w:rFonts w:ascii="Arial" w:hAnsi="Arial" w:cs="Arial"/>
          <w:color w:val="000000"/>
        </w:rPr>
        <w:tab/>
      </w:r>
      <w:r w:rsidR="004C4309" w:rsidRPr="00927236">
        <w:rPr>
          <w:rFonts w:ascii="Arial" w:hAnsi="Arial" w:cs="Arial"/>
          <w:b/>
        </w:rPr>
        <w:t>LISTA DE VERIFICACIÓN DE LA AUTOEVALUACIÓN</w:t>
      </w:r>
      <w:r w:rsidR="00B1708A" w:rsidRPr="00927236">
        <w:rPr>
          <w:rFonts w:ascii="Arial" w:hAnsi="Arial" w:cs="Arial"/>
          <w:b/>
        </w:rPr>
        <w:t xml:space="preserve"> PARA LOS COMITÉS DE ÉTICA </w:t>
      </w:r>
    </w:p>
    <w:p w:rsidR="00B50A97" w:rsidRPr="00927236" w:rsidRDefault="00B50A97" w:rsidP="00927236">
      <w:pPr>
        <w:tabs>
          <w:tab w:val="left" w:pos="1638"/>
          <w:tab w:val="left" w:pos="1908"/>
          <w:tab w:val="left" w:pos="10278"/>
        </w:tabs>
        <w:ind w:left="1908" w:hanging="1530"/>
        <w:contextualSpacing/>
        <w:jc w:val="both"/>
        <w:rPr>
          <w:rFonts w:ascii="Arial" w:hAnsi="Arial" w:cs="Arial"/>
          <w:b/>
        </w:rPr>
      </w:pPr>
    </w:p>
    <w:p w:rsidR="00F81921" w:rsidRPr="00927236" w:rsidRDefault="00F81921" w:rsidP="00927236">
      <w:pPr>
        <w:contextualSpacing/>
        <w:jc w:val="both"/>
        <w:rPr>
          <w:rFonts w:ascii="Arial" w:hAnsi="Arial" w:cs="Arial"/>
          <w:b/>
        </w:rPr>
      </w:pPr>
    </w:p>
    <w:p w:rsidR="00830631" w:rsidRPr="00927236" w:rsidRDefault="00830631" w:rsidP="00927236">
      <w:pPr>
        <w:contextualSpacing/>
        <w:jc w:val="both"/>
        <w:rPr>
          <w:rFonts w:ascii="Arial" w:hAnsi="Arial" w:cs="Arial"/>
          <w:b/>
        </w:rPr>
      </w:pPr>
      <w:r w:rsidRPr="00927236">
        <w:rPr>
          <w:rFonts w:ascii="Arial" w:hAnsi="Arial" w:cs="Arial"/>
          <w:b/>
        </w:rPr>
        <w:t>VII. LIGAS DE INTERES</w:t>
      </w:r>
      <w:r w:rsidR="002E2FEC" w:rsidRPr="00927236">
        <w:rPr>
          <w:rFonts w:ascii="Arial" w:hAnsi="Arial" w:cs="Arial"/>
          <w:b/>
        </w:rPr>
        <w:t xml:space="preserve"> O DE DESCARGA</w:t>
      </w:r>
    </w:p>
    <w:p w:rsidR="00985FCE" w:rsidRPr="00927236" w:rsidRDefault="00985FCE" w:rsidP="00927236">
      <w:pPr>
        <w:contextualSpacing/>
        <w:jc w:val="both"/>
        <w:rPr>
          <w:rFonts w:ascii="Arial" w:hAnsi="Arial" w:cs="Arial"/>
          <w:b/>
        </w:rPr>
      </w:pPr>
    </w:p>
    <w:p w:rsidR="00F81921" w:rsidRPr="00927236" w:rsidRDefault="00CB37E8" w:rsidP="00927236">
      <w:pPr>
        <w:pStyle w:val="Default"/>
        <w:ind w:firstLine="708"/>
        <w:contextualSpacing/>
        <w:rPr>
          <w:rFonts w:ascii="Arial" w:hAnsi="Arial" w:cs="Arial"/>
          <w:color w:val="auto"/>
        </w:rPr>
      </w:pPr>
      <w:r w:rsidRPr="00927236">
        <w:rPr>
          <w:rFonts w:ascii="Arial" w:hAnsi="Arial" w:cs="Arial"/>
          <w:color w:val="auto"/>
        </w:rPr>
        <w:t xml:space="preserve">VII.1 </w:t>
      </w:r>
      <w:r w:rsidR="00176269" w:rsidRPr="00927236">
        <w:rPr>
          <w:rFonts w:ascii="Arial" w:hAnsi="Arial" w:cs="Arial"/>
          <w:color w:val="auto"/>
        </w:rPr>
        <w:t>M</w:t>
      </w:r>
      <w:r w:rsidR="0007370C" w:rsidRPr="00927236">
        <w:rPr>
          <w:rFonts w:ascii="Arial" w:hAnsi="Arial" w:cs="Arial"/>
          <w:color w:val="auto"/>
        </w:rPr>
        <w:t>anual de control de calidad IRB 7348.809</w:t>
      </w:r>
    </w:p>
    <w:p w:rsidR="0098277D" w:rsidRPr="00927236" w:rsidRDefault="003E506F" w:rsidP="00927236">
      <w:pPr>
        <w:pStyle w:val="Default"/>
        <w:ind w:firstLine="708"/>
        <w:contextualSpacing/>
        <w:rPr>
          <w:rFonts w:ascii="Arial" w:hAnsi="Arial" w:cs="Arial"/>
        </w:rPr>
      </w:pPr>
      <w:hyperlink r:id="rId8" w:history="1">
        <w:r w:rsidR="0007370C" w:rsidRPr="00927236">
          <w:rPr>
            <w:rStyle w:val="Hipervnculo"/>
            <w:rFonts w:ascii="Arial" w:hAnsi="Arial" w:cs="Arial"/>
          </w:rPr>
          <w:t>http://www.fda.gov/downloads/ICECI/EnforcementActions/BioresearchMonitoring/ucm133768.pdf</w:t>
        </w:r>
      </w:hyperlink>
    </w:p>
    <w:p w:rsidR="0007370C" w:rsidRPr="00927236" w:rsidRDefault="0007370C" w:rsidP="00927236">
      <w:pPr>
        <w:pStyle w:val="Default"/>
        <w:ind w:firstLine="708"/>
        <w:contextualSpacing/>
        <w:rPr>
          <w:rFonts w:ascii="Arial" w:hAnsi="Arial" w:cs="Arial"/>
          <w:color w:val="auto"/>
        </w:rPr>
      </w:pPr>
    </w:p>
    <w:p w:rsidR="009159FF" w:rsidRPr="00927236" w:rsidRDefault="009159FF" w:rsidP="00927236">
      <w:pPr>
        <w:contextualSpacing/>
        <w:jc w:val="both"/>
        <w:rPr>
          <w:rFonts w:ascii="Arial" w:hAnsi="Arial" w:cs="Arial"/>
        </w:rPr>
      </w:pPr>
    </w:p>
    <w:p w:rsidR="00CB37E8" w:rsidRPr="00927236" w:rsidRDefault="00CB37E8" w:rsidP="00927236">
      <w:pPr>
        <w:contextualSpacing/>
        <w:jc w:val="both"/>
        <w:rPr>
          <w:rFonts w:ascii="Arial" w:hAnsi="Arial" w:cs="Arial"/>
        </w:rPr>
      </w:pPr>
    </w:p>
    <w:p w:rsidR="00803517" w:rsidRPr="00927236" w:rsidRDefault="00803517" w:rsidP="00927236">
      <w:pPr>
        <w:contextualSpacing/>
        <w:jc w:val="both"/>
        <w:rPr>
          <w:rFonts w:ascii="Arial" w:hAnsi="Arial" w:cs="Arial"/>
          <w:b/>
        </w:rPr>
      </w:pPr>
    </w:p>
    <w:p w:rsidR="00803517" w:rsidRPr="00927236" w:rsidRDefault="00803517" w:rsidP="00927236">
      <w:pPr>
        <w:contextualSpacing/>
        <w:jc w:val="both"/>
        <w:rPr>
          <w:rFonts w:ascii="Arial" w:hAnsi="Arial" w:cs="Arial"/>
          <w:b/>
        </w:rPr>
      </w:pPr>
      <w:r w:rsidRPr="00927236">
        <w:rPr>
          <w:rFonts w:ascii="Arial" w:hAnsi="Arial" w:cs="Arial"/>
          <w:b/>
        </w:rPr>
        <w:t>VI</w:t>
      </w:r>
      <w:r w:rsidR="00830631" w:rsidRPr="00927236">
        <w:rPr>
          <w:rFonts w:ascii="Arial" w:hAnsi="Arial" w:cs="Arial"/>
          <w:b/>
        </w:rPr>
        <w:t>I</w:t>
      </w:r>
      <w:r w:rsidRPr="00927236">
        <w:rPr>
          <w:rFonts w:ascii="Arial" w:hAnsi="Arial" w:cs="Arial"/>
          <w:b/>
        </w:rPr>
        <w:t>I. REFERENCIAS</w:t>
      </w:r>
    </w:p>
    <w:p w:rsidR="003711D6" w:rsidRPr="00927236" w:rsidRDefault="003711D6" w:rsidP="00927236">
      <w:pPr>
        <w:pStyle w:val="level1bodystyle"/>
        <w:ind w:left="1080"/>
        <w:contextualSpacing/>
        <w:jc w:val="both"/>
        <w:rPr>
          <w:szCs w:val="24"/>
          <w:lang w:val="es-ES"/>
        </w:rPr>
      </w:pPr>
    </w:p>
    <w:p w:rsidR="00E35A61" w:rsidRPr="00927236" w:rsidRDefault="00E35A61" w:rsidP="00927236">
      <w:pPr>
        <w:pStyle w:val="level1bodystyle"/>
        <w:numPr>
          <w:ilvl w:val="0"/>
          <w:numId w:val="1"/>
        </w:numPr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t>21 CFR 56.115</w:t>
      </w:r>
    </w:p>
    <w:p w:rsidR="00E35A61" w:rsidRPr="00927236" w:rsidRDefault="00E35A61" w:rsidP="00927236">
      <w:pPr>
        <w:pStyle w:val="level1bodystyle"/>
        <w:numPr>
          <w:ilvl w:val="0"/>
          <w:numId w:val="1"/>
        </w:numPr>
        <w:contextualSpacing/>
        <w:jc w:val="both"/>
        <w:rPr>
          <w:color w:val="000000"/>
          <w:szCs w:val="24"/>
          <w:lang w:val="es-ES"/>
        </w:rPr>
      </w:pPr>
      <w:r w:rsidRPr="00927236">
        <w:rPr>
          <w:color w:val="000000"/>
          <w:szCs w:val="24"/>
          <w:lang w:val="es-ES"/>
        </w:rPr>
        <w:t>45 CFR 46.115</w:t>
      </w:r>
    </w:p>
    <w:p w:rsidR="00E35A61" w:rsidRPr="00927236" w:rsidRDefault="00E35A61" w:rsidP="00927236">
      <w:pPr>
        <w:pStyle w:val="Prrafodelista"/>
        <w:numPr>
          <w:ilvl w:val="0"/>
          <w:numId w:val="1"/>
        </w:numPr>
        <w:tabs>
          <w:tab w:val="left" w:pos="1800"/>
          <w:tab w:val="left" w:pos="2070"/>
          <w:tab w:val="left" w:pos="10080"/>
        </w:tabs>
        <w:jc w:val="both"/>
        <w:rPr>
          <w:rFonts w:ascii="Arial" w:hAnsi="Arial" w:cs="Arial"/>
          <w:color w:val="000000"/>
        </w:rPr>
      </w:pPr>
      <w:r w:rsidRPr="00927236">
        <w:rPr>
          <w:rFonts w:ascii="Arial" w:hAnsi="Arial" w:cs="Arial"/>
          <w:color w:val="000000"/>
        </w:rPr>
        <w:t>Manual 7348.809, Comités examinadores de la dirección del programa de cumplimiento del FDA institucionales</w:t>
      </w:r>
    </w:p>
    <w:p w:rsidR="0066775B" w:rsidRPr="00927236" w:rsidRDefault="006401B4" w:rsidP="00927236">
      <w:pPr>
        <w:pStyle w:val="level1bodystyle"/>
        <w:numPr>
          <w:ilvl w:val="0"/>
          <w:numId w:val="1"/>
        </w:numPr>
        <w:contextualSpacing/>
        <w:jc w:val="both"/>
        <w:rPr>
          <w:b/>
          <w:szCs w:val="24"/>
          <w:lang w:val="es-ES"/>
        </w:rPr>
      </w:pPr>
      <w:r w:rsidRPr="00927236">
        <w:rPr>
          <w:szCs w:val="24"/>
          <w:lang w:val="es-MX"/>
        </w:rPr>
        <w:t>Referencia de la AAHRPP</w:t>
      </w:r>
      <w:r w:rsidR="00E81964" w:rsidRPr="00927236">
        <w:rPr>
          <w:szCs w:val="24"/>
          <w:lang w:val="es-MX"/>
        </w:rPr>
        <w:t xml:space="preserve">. </w:t>
      </w:r>
      <w:r w:rsidR="0098277D" w:rsidRPr="00927236">
        <w:rPr>
          <w:szCs w:val="24"/>
          <w:lang w:val="es-MX"/>
        </w:rPr>
        <w:t>Elementos</w:t>
      </w:r>
      <w:r w:rsidR="00421146" w:rsidRPr="00927236">
        <w:rPr>
          <w:lang w:val="es-MX"/>
        </w:rPr>
        <w:t>I.5.A</w:t>
      </w:r>
      <w:proofErr w:type="gramStart"/>
      <w:r w:rsidR="00421146" w:rsidRPr="00927236">
        <w:rPr>
          <w:lang w:val="es-MX"/>
        </w:rPr>
        <w:t>,I.5.B</w:t>
      </w:r>
      <w:proofErr w:type="gramEnd"/>
      <w:r w:rsidR="00421146" w:rsidRPr="00927236">
        <w:rPr>
          <w:lang w:val="es-MX"/>
        </w:rPr>
        <w:t xml:space="preserve">, I.5.C, I.5.D, </w:t>
      </w:r>
      <w:r w:rsidR="004547F3" w:rsidRPr="00927236">
        <w:rPr>
          <w:lang w:val="es-MX"/>
        </w:rPr>
        <w:t>II.3.B.</w:t>
      </w:r>
    </w:p>
    <w:p w:rsidR="0078348C" w:rsidRPr="00927236" w:rsidRDefault="0078348C" w:rsidP="00927236">
      <w:pPr>
        <w:spacing w:after="200" w:line="276" w:lineRule="auto"/>
        <w:contextualSpacing/>
        <w:rPr>
          <w:rFonts w:ascii="Arial" w:hAnsi="Arial" w:cs="Arial"/>
          <w:bCs/>
          <w:sz w:val="18"/>
        </w:rPr>
      </w:pPr>
      <w:bookmarkStart w:id="0" w:name="_GoBack"/>
      <w:bookmarkEnd w:id="0"/>
    </w:p>
    <w:sectPr w:rsidR="0078348C" w:rsidRPr="00927236" w:rsidSect="00BA50AF">
      <w:headerReference w:type="default" r:id="rId9"/>
      <w:footerReference w:type="default" r:id="rId10"/>
      <w:pgSz w:w="12242" w:h="15842" w:code="1"/>
      <w:pgMar w:top="1701" w:right="1701" w:bottom="1418" w:left="1701" w:header="1703" w:footer="9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09B" w:rsidRDefault="001B009B" w:rsidP="00CB37E8">
      <w:r>
        <w:separator/>
      </w:r>
    </w:p>
  </w:endnote>
  <w:endnote w:type="continuationSeparator" w:id="0">
    <w:p w:rsidR="001B009B" w:rsidRDefault="001B009B" w:rsidP="00CB37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42739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5C7308" w:rsidRDefault="005C7308">
            <w:pPr>
              <w:pStyle w:val="Piedepgina"/>
              <w:jc w:val="right"/>
            </w:pPr>
            <w:r>
              <w:t xml:space="preserve">Página </w:t>
            </w:r>
            <w:r w:rsidR="003E506F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E506F">
              <w:rPr>
                <w:b/>
              </w:rPr>
              <w:fldChar w:fldCharType="separate"/>
            </w:r>
            <w:r w:rsidR="00927236">
              <w:rPr>
                <w:b/>
                <w:noProof/>
              </w:rPr>
              <w:t>4</w:t>
            </w:r>
            <w:r w:rsidR="003E506F">
              <w:rPr>
                <w:b/>
              </w:rPr>
              <w:fldChar w:fldCharType="end"/>
            </w:r>
            <w:r>
              <w:t xml:space="preserve"> de </w:t>
            </w:r>
            <w:r w:rsidR="003E506F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E506F">
              <w:rPr>
                <w:b/>
              </w:rPr>
              <w:fldChar w:fldCharType="separate"/>
            </w:r>
            <w:r w:rsidR="00927236">
              <w:rPr>
                <w:b/>
                <w:noProof/>
              </w:rPr>
              <w:t>4</w:t>
            </w:r>
            <w:r w:rsidR="003E506F">
              <w:rPr>
                <w:b/>
              </w:rPr>
              <w:fldChar w:fldCharType="end"/>
            </w:r>
          </w:p>
        </w:sdtContent>
      </w:sdt>
    </w:sdtContent>
  </w:sdt>
  <w:p w:rsidR="005C7308" w:rsidRDefault="005C730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09B" w:rsidRDefault="001B009B" w:rsidP="00CB37E8">
      <w:r>
        <w:separator/>
      </w:r>
    </w:p>
  </w:footnote>
  <w:footnote w:type="continuationSeparator" w:id="0">
    <w:p w:rsidR="001B009B" w:rsidRDefault="001B009B" w:rsidP="00CB37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08" w:rsidRDefault="004C4309">
    <w:pPr>
      <w:pStyle w:val="Encabezado"/>
    </w:pPr>
    <w:r>
      <w:rPr>
        <w:noProof/>
        <w:sz w:val="10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-229870</wp:posOffset>
          </wp:positionV>
          <wp:extent cx="463550" cy="463550"/>
          <wp:effectExtent l="0" t="0" r="0" b="0"/>
          <wp:wrapSquare wrapText="bothSides"/>
          <wp:docPr id="2" name="Imagen 2" descr="logo uni c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ni color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Style w:val="Tablaconcuadrcula"/>
      <w:tblpPr w:leftFromText="141" w:rightFromText="141" w:vertAnchor="text" w:horzAnchor="margin" w:tblpY="-817"/>
      <w:tblW w:w="5000" w:type="pct"/>
      <w:tblLook w:val="04A0"/>
    </w:tblPr>
    <w:tblGrid>
      <w:gridCol w:w="2165"/>
      <w:gridCol w:w="1165"/>
      <w:gridCol w:w="1422"/>
      <w:gridCol w:w="2016"/>
      <w:gridCol w:w="2288"/>
    </w:tblGrid>
    <w:tr w:rsidR="005C7308" w:rsidTr="007A5DCE">
      <w:trPr>
        <w:trHeight w:val="410"/>
      </w:trPr>
      <w:tc>
        <w:tcPr>
          <w:tcW w:w="1196" w:type="pct"/>
          <w:vMerge w:val="restart"/>
        </w:tcPr>
        <w:p w:rsidR="005C7308" w:rsidRDefault="005C7308" w:rsidP="007A5DCE">
          <w:pPr>
            <w:rPr>
              <w:sz w:val="10"/>
            </w:rPr>
          </w:pPr>
        </w:p>
        <w:p w:rsidR="005C7308" w:rsidRDefault="005C7308" w:rsidP="007A5DCE">
          <w:pPr>
            <w:rPr>
              <w:rFonts w:ascii="Arial" w:hAnsi="Arial" w:cs="Arial"/>
              <w:sz w:val="12"/>
            </w:rPr>
          </w:pPr>
        </w:p>
        <w:p w:rsidR="005C7308" w:rsidRDefault="005C7308" w:rsidP="007A5DCE">
          <w:pPr>
            <w:rPr>
              <w:rFonts w:ascii="Arial" w:hAnsi="Arial" w:cs="Arial"/>
              <w:sz w:val="12"/>
            </w:rPr>
          </w:pPr>
        </w:p>
        <w:p w:rsidR="005C7308" w:rsidRDefault="005C7308" w:rsidP="007A5DCE">
          <w:pPr>
            <w:rPr>
              <w:rFonts w:ascii="Arial" w:hAnsi="Arial" w:cs="Arial"/>
              <w:sz w:val="12"/>
            </w:rPr>
          </w:pPr>
        </w:p>
        <w:p w:rsidR="005C7308" w:rsidRDefault="005C7308" w:rsidP="007A5DCE">
          <w:pPr>
            <w:rPr>
              <w:rFonts w:ascii="Arial" w:hAnsi="Arial" w:cs="Arial"/>
              <w:sz w:val="12"/>
            </w:rPr>
          </w:pPr>
        </w:p>
        <w:p w:rsidR="005C7308" w:rsidRDefault="005C7308" w:rsidP="007A5DCE">
          <w:pPr>
            <w:rPr>
              <w:rFonts w:ascii="Arial" w:hAnsi="Arial" w:cs="Arial"/>
              <w:sz w:val="12"/>
            </w:rPr>
          </w:pPr>
        </w:p>
        <w:p w:rsidR="005C7308" w:rsidRDefault="005C7308" w:rsidP="007A5DCE">
          <w:pPr>
            <w:rPr>
              <w:rFonts w:ascii="Arial" w:hAnsi="Arial" w:cs="Arial"/>
              <w:sz w:val="12"/>
            </w:rPr>
          </w:pPr>
        </w:p>
        <w:p w:rsidR="00613D2F" w:rsidRDefault="00613D2F" w:rsidP="00613D2F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Comité de Ética en Investigación</w:t>
          </w:r>
          <w:r w:rsidRPr="00803517">
            <w:rPr>
              <w:rFonts w:ascii="Arial" w:hAnsi="Arial" w:cs="Arial"/>
              <w:sz w:val="12"/>
            </w:rPr>
            <w:t>,</w:t>
          </w:r>
        </w:p>
        <w:p w:rsidR="00613D2F" w:rsidRDefault="00613D2F" w:rsidP="00613D2F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Hospital Universitario “Dr. José Eleuterio González”</w:t>
          </w:r>
          <w:r w:rsidRPr="00803517">
            <w:rPr>
              <w:rFonts w:ascii="Arial" w:hAnsi="Arial" w:cs="Arial"/>
              <w:sz w:val="12"/>
            </w:rPr>
            <w:t>,</w:t>
          </w:r>
        </w:p>
        <w:p w:rsidR="005C7308" w:rsidRPr="00DB53D2" w:rsidRDefault="00613D2F" w:rsidP="00613D2F">
          <w:pPr>
            <w:jc w:val="center"/>
            <w:rPr>
              <w:sz w:val="10"/>
            </w:rPr>
          </w:pPr>
          <w:r w:rsidRPr="00803517">
            <w:rPr>
              <w:rFonts w:ascii="Arial" w:hAnsi="Arial" w:cs="Arial"/>
              <w:sz w:val="12"/>
            </w:rPr>
            <w:t>UANL</w:t>
          </w:r>
        </w:p>
      </w:tc>
      <w:tc>
        <w:tcPr>
          <w:tcW w:w="3804" w:type="pct"/>
          <w:gridSpan w:val="4"/>
        </w:tcPr>
        <w:p w:rsidR="005C7308" w:rsidRDefault="005C7308" w:rsidP="0078348C">
          <w:r>
            <w:rPr>
              <w:rFonts w:ascii="Arial" w:hAnsi="Arial" w:cs="Arial"/>
              <w:b/>
              <w:caps/>
              <w:lang w:val="es-MX"/>
            </w:rPr>
            <w:t xml:space="preserve">SOP:         </w:t>
          </w:r>
          <w:r w:rsidR="00E35A61" w:rsidRPr="009003F7">
            <w:rPr>
              <w:rFonts w:ascii="Arial" w:hAnsi="Arial" w:cs="Arial"/>
              <w:b/>
              <w:caps/>
              <w:color w:val="000000"/>
            </w:rPr>
            <w:t xml:space="preserve"> Auditorías por agencias regulatorias</w:t>
          </w:r>
        </w:p>
      </w:tc>
    </w:tr>
    <w:tr w:rsidR="005C7308" w:rsidTr="007A5DCE">
      <w:trPr>
        <w:trHeight w:val="343"/>
      </w:trPr>
      <w:tc>
        <w:tcPr>
          <w:tcW w:w="1196" w:type="pct"/>
          <w:vMerge/>
        </w:tcPr>
        <w:p w:rsidR="005C7308" w:rsidRDefault="005C7308" w:rsidP="007A5DCE"/>
      </w:tc>
      <w:tc>
        <w:tcPr>
          <w:tcW w:w="643" w:type="pct"/>
        </w:tcPr>
        <w:p w:rsidR="005C7308" w:rsidRPr="00803517" w:rsidRDefault="005C7308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Numero</w:t>
          </w:r>
        </w:p>
      </w:tc>
      <w:tc>
        <w:tcPr>
          <w:tcW w:w="785" w:type="pct"/>
        </w:tcPr>
        <w:p w:rsidR="005C7308" w:rsidRPr="00803517" w:rsidRDefault="005C7308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Fecha</w:t>
          </w:r>
        </w:p>
      </w:tc>
      <w:tc>
        <w:tcPr>
          <w:tcW w:w="1113" w:type="pct"/>
        </w:tcPr>
        <w:p w:rsidR="005C7308" w:rsidRPr="00803517" w:rsidRDefault="005C7308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Autor</w:t>
          </w:r>
        </w:p>
      </w:tc>
      <w:tc>
        <w:tcPr>
          <w:tcW w:w="1262" w:type="pct"/>
        </w:tcPr>
        <w:p w:rsidR="005C7308" w:rsidRPr="00803517" w:rsidRDefault="005C7308" w:rsidP="007A5DCE">
          <w:pPr>
            <w:jc w:val="center"/>
            <w:rPr>
              <w:rFonts w:ascii="Arial" w:hAnsi="Arial" w:cs="Arial"/>
              <w:sz w:val="16"/>
            </w:rPr>
          </w:pPr>
          <w:r w:rsidRPr="00803517">
            <w:rPr>
              <w:rFonts w:ascii="Arial" w:hAnsi="Arial" w:cs="Arial"/>
              <w:sz w:val="16"/>
            </w:rPr>
            <w:t>Aprobado por</w:t>
          </w:r>
        </w:p>
      </w:tc>
    </w:tr>
    <w:tr w:rsidR="005C7308" w:rsidTr="00613D2F">
      <w:trPr>
        <w:trHeight w:val="492"/>
      </w:trPr>
      <w:tc>
        <w:tcPr>
          <w:tcW w:w="1196" w:type="pct"/>
          <w:vMerge/>
        </w:tcPr>
        <w:p w:rsidR="005C7308" w:rsidRDefault="005C7308" w:rsidP="007A5DCE"/>
      </w:tc>
      <w:tc>
        <w:tcPr>
          <w:tcW w:w="643" w:type="pct"/>
        </w:tcPr>
        <w:p w:rsidR="005C7308" w:rsidRDefault="00E35A61" w:rsidP="007A5DCE">
          <w:pPr>
            <w:jc w:val="center"/>
            <w:rPr>
              <w:rStyle w:val="SOPheading"/>
              <w:b w:val="0"/>
              <w:bCs/>
              <w:sz w:val="24"/>
              <w:lang w:val="es-MX"/>
            </w:rPr>
          </w:pPr>
          <w:r>
            <w:rPr>
              <w:rStyle w:val="SOPheading"/>
              <w:b w:val="0"/>
              <w:bCs/>
              <w:sz w:val="24"/>
              <w:lang w:val="es-MX"/>
            </w:rPr>
            <w:t>QA 902</w:t>
          </w:r>
        </w:p>
        <w:p w:rsidR="0049072E" w:rsidRPr="00803517" w:rsidRDefault="00784AAB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 04</w:t>
          </w:r>
        </w:p>
      </w:tc>
      <w:tc>
        <w:tcPr>
          <w:tcW w:w="785" w:type="pct"/>
        </w:tcPr>
        <w:p w:rsidR="005C7308" w:rsidRPr="00803517" w:rsidRDefault="00784AAB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Febrero, 2016</w:t>
          </w:r>
        </w:p>
      </w:tc>
      <w:tc>
        <w:tcPr>
          <w:tcW w:w="1113" w:type="pct"/>
        </w:tcPr>
        <w:p w:rsidR="005C7308" w:rsidRPr="00803517" w:rsidRDefault="005C7308" w:rsidP="007A5DCE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I.</w:t>
          </w:r>
          <w:r w:rsidR="00784AAB">
            <w:rPr>
              <w:rFonts w:ascii="Arial" w:hAnsi="Arial" w:cs="Arial"/>
              <w:sz w:val="20"/>
              <w:szCs w:val="20"/>
            </w:rPr>
            <w:t xml:space="preserve"> Hernández</w:t>
          </w:r>
          <w:r>
            <w:rPr>
              <w:rFonts w:ascii="Arial" w:hAnsi="Arial" w:cs="Arial"/>
              <w:sz w:val="20"/>
              <w:szCs w:val="20"/>
            </w:rPr>
            <w:t>, V.</w:t>
          </w:r>
          <w:r w:rsidR="00784AAB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Gómez, J. Garza</w:t>
          </w:r>
          <w:r w:rsidR="00784AAB">
            <w:rPr>
              <w:rFonts w:ascii="Arial" w:hAnsi="Arial" w:cs="Arial"/>
              <w:sz w:val="20"/>
              <w:szCs w:val="20"/>
            </w:rPr>
            <w:t>, A. Carlos</w:t>
          </w:r>
        </w:p>
      </w:tc>
      <w:tc>
        <w:tcPr>
          <w:tcW w:w="1262" w:type="pct"/>
        </w:tcPr>
        <w:p w:rsidR="005C7308" w:rsidRPr="00803517" w:rsidRDefault="005C7308" w:rsidP="007A5DCE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J.G.</w:t>
          </w:r>
          <w:r w:rsidR="00784AAB">
            <w:rPr>
              <w:rFonts w:ascii="Arial" w:hAnsi="Arial" w:cs="Arial"/>
              <w:sz w:val="20"/>
              <w:szCs w:val="20"/>
            </w:rPr>
            <w:t xml:space="preserve"> González</w:t>
          </w:r>
        </w:p>
      </w:tc>
    </w:tr>
  </w:tbl>
  <w:p w:rsidR="005C7308" w:rsidRDefault="005C7308">
    <w:pPr>
      <w:pStyle w:val="Encabezado"/>
    </w:pPr>
  </w:p>
  <w:p w:rsidR="005C7308" w:rsidRDefault="005C73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083"/>
    <w:multiLevelType w:val="hybridMultilevel"/>
    <w:tmpl w:val="0E6C9EF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33A4D"/>
    <w:multiLevelType w:val="hybridMultilevel"/>
    <w:tmpl w:val="34806AEA"/>
    <w:lvl w:ilvl="0" w:tplc="9E20B2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18527A"/>
    <w:multiLevelType w:val="multilevel"/>
    <w:tmpl w:val="BD5ABD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">
    <w:nsid w:val="11AE0050"/>
    <w:multiLevelType w:val="hybridMultilevel"/>
    <w:tmpl w:val="93B02C7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07F"/>
    <w:multiLevelType w:val="hybridMultilevel"/>
    <w:tmpl w:val="833E7FA2"/>
    <w:lvl w:ilvl="0" w:tplc="243EC288">
      <w:start w:val="7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850589F"/>
    <w:multiLevelType w:val="hybridMultilevel"/>
    <w:tmpl w:val="1DD852B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3110D"/>
    <w:multiLevelType w:val="hybridMultilevel"/>
    <w:tmpl w:val="AA9009D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2243A"/>
    <w:multiLevelType w:val="hybridMultilevel"/>
    <w:tmpl w:val="038E9EE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8105A"/>
    <w:multiLevelType w:val="hybridMultilevel"/>
    <w:tmpl w:val="BA2EFBE6"/>
    <w:lvl w:ilvl="0" w:tplc="525AD9F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25055F"/>
    <w:multiLevelType w:val="hybridMultilevel"/>
    <w:tmpl w:val="98D6E49A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8E509D"/>
    <w:multiLevelType w:val="singleLevel"/>
    <w:tmpl w:val="2F8C6B00"/>
    <w:lvl w:ilvl="0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  <w:sz w:val="16"/>
      </w:rPr>
    </w:lvl>
  </w:abstractNum>
  <w:abstractNum w:abstractNumId="11">
    <w:nsid w:val="41353EA7"/>
    <w:multiLevelType w:val="hybridMultilevel"/>
    <w:tmpl w:val="E940E646"/>
    <w:lvl w:ilvl="0" w:tplc="E7D69E5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0DF4CAA"/>
    <w:multiLevelType w:val="hybridMultilevel"/>
    <w:tmpl w:val="8CA875B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2041A"/>
    <w:multiLevelType w:val="hybridMultilevel"/>
    <w:tmpl w:val="00D8BAC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E5C36"/>
    <w:multiLevelType w:val="hybridMultilevel"/>
    <w:tmpl w:val="6DCCBA3E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318F9"/>
    <w:multiLevelType w:val="hybridMultilevel"/>
    <w:tmpl w:val="93686050"/>
    <w:lvl w:ilvl="0" w:tplc="ADC84212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ADC84212">
      <w:start w:val="3"/>
      <w:numFmt w:val="bullet"/>
      <w:lvlText w:val="-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2B61D78"/>
    <w:multiLevelType w:val="multilevel"/>
    <w:tmpl w:val="AE7C6F50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sz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9122E36"/>
    <w:multiLevelType w:val="hybridMultilevel"/>
    <w:tmpl w:val="34121B5C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B6960"/>
    <w:multiLevelType w:val="hybridMultilevel"/>
    <w:tmpl w:val="534E5E9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6"/>
  </w:num>
  <w:num w:numId="7">
    <w:abstractNumId w:val="13"/>
  </w:num>
  <w:num w:numId="8">
    <w:abstractNumId w:val="15"/>
  </w:num>
  <w:num w:numId="9">
    <w:abstractNumId w:val="7"/>
  </w:num>
  <w:num w:numId="10">
    <w:abstractNumId w:val="17"/>
  </w:num>
  <w:num w:numId="11">
    <w:abstractNumId w:val="4"/>
  </w:num>
  <w:num w:numId="12">
    <w:abstractNumId w:val="18"/>
  </w:num>
  <w:num w:numId="13">
    <w:abstractNumId w:val="11"/>
  </w:num>
  <w:num w:numId="14">
    <w:abstractNumId w:val="3"/>
  </w:num>
  <w:num w:numId="15">
    <w:abstractNumId w:val="0"/>
  </w:num>
  <w:num w:numId="16">
    <w:abstractNumId w:val="12"/>
  </w:num>
  <w:num w:numId="17">
    <w:abstractNumId w:val="5"/>
  </w:num>
  <w:num w:numId="18">
    <w:abstractNumId w:val="1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557DC"/>
    <w:rsid w:val="00030A6B"/>
    <w:rsid w:val="00031B43"/>
    <w:rsid w:val="0007370C"/>
    <w:rsid w:val="000A17AD"/>
    <w:rsid w:val="000C17A5"/>
    <w:rsid w:val="000C22EF"/>
    <w:rsid w:val="000D6C2D"/>
    <w:rsid w:val="000E2452"/>
    <w:rsid w:val="0011116D"/>
    <w:rsid w:val="00160AFA"/>
    <w:rsid w:val="00176269"/>
    <w:rsid w:val="0018311D"/>
    <w:rsid w:val="001A5EE3"/>
    <w:rsid w:val="001B009B"/>
    <w:rsid w:val="001B213D"/>
    <w:rsid w:val="001C0FC1"/>
    <w:rsid w:val="001C7CF9"/>
    <w:rsid w:val="0020729E"/>
    <w:rsid w:val="002472B1"/>
    <w:rsid w:val="00256156"/>
    <w:rsid w:val="00260BE7"/>
    <w:rsid w:val="00277294"/>
    <w:rsid w:val="002C50B9"/>
    <w:rsid w:val="002C7153"/>
    <w:rsid w:val="002D6459"/>
    <w:rsid w:val="002E2FEC"/>
    <w:rsid w:val="002F7C55"/>
    <w:rsid w:val="003311D2"/>
    <w:rsid w:val="0033520E"/>
    <w:rsid w:val="00335ADD"/>
    <w:rsid w:val="0034216B"/>
    <w:rsid w:val="00351E7B"/>
    <w:rsid w:val="003711D6"/>
    <w:rsid w:val="003B761F"/>
    <w:rsid w:val="003D3DE3"/>
    <w:rsid w:val="003D4494"/>
    <w:rsid w:val="003E506F"/>
    <w:rsid w:val="00420D83"/>
    <w:rsid w:val="00421146"/>
    <w:rsid w:val="00422E36"/>
    <w:rsid w:val="004461FD"/>
    <w:rsid w:val="00446CBC"/>
    <w:rsid w:val="004547F3"/>
    <w:rsid w:val="0049072E"/>
    <w:rsid w:val="004B18FB"/>
    <w:rsid w:val="004C421F"/>
    <w:rsid w:val="004C4309"/>
    <w:rsid w:val="004C4C5E"/>
    <w:rsid w:val="004D0E0B"/>
    <w:rsid w:val="004D1894"/>
    <w:rsid w:val="004D658C"/>
    <w:rsid w:val="004E2E38"/>
    <w:rsid w:val="004F7D7A"/>
    <w:rsid w:val="005247C2"/>
    <w:rsid w:val="0057605F"/>
    <w:rsid w:val="0058258F"/>
    <w:rsid w:val="005A0CB4"/>
    <w:rsid w:val="005B7360"/>
    <w:rsid w:val="005C7308"/>
    <w:rsid w:val="005D6067"/>
    <w:rsid w:val="005E10C3"/>
    <w:rsid w:val="005F6E91"/>
    <w:rsid w:val="00613D2F"/>
    <w:rsid w:val="00621DE6"/>
    <w:rsid w:val="00637B09"/>
    <w:rsid w:val="006401B4"/>
    <w:rsid w:val="0065029A"/>
    <w:rsid w:val="0066775B"/>
    <w:rsid w:val="006E0180"/>
    <w:rsid w:val="006E6C5B"/>
    <w:rsid w:val="006F054A"/>
    <w:rsid w:val="00704D08"/>
    <w:rsid w:val="007338DF"/>
    <w:rsid w:val="007557DC"/>
    <w:rsid w:val="0076779E"/>
    <w:rsid w:val="00772EED"/>
    <w:rsid w:val="0078348C"/>
    <w:rsid w:val="00784AAB"/>
    <w:rsid w:val="007A41ED"/>
    <w:rsid w:val="007A5DCE"/>
    <w:rsid w:val="007C3E91"/>
    <w:rsid w:val="00803517"/>
    <w:rsid w:val="00830631"/>
    <w:rsid w:val="00845A36"/>
    <w:rsid w:val="0084626A"/>
    <w:rsid w:val="008462C9"/>
    <w:rsid w:val="00852A62"/>
    <w:rsid w:val="0088609A"/>
    <w:rsid w:val="00897E2A"/>
    <w:rsid w:val="008A07E7"/>
    <w:rsid w:val="008A1BE2"/>
    <w:rsid w:val="008A5A89"/>
    <w:rsid w:val="008D4414"/>
    <w:rsid w:val="008E2BE0"/>
    <w:rsid w:val="009159FF"/>
    <w:rsid w:val="00927236"/>
    <w:rsid w:val="00942695"/>
    <w:rsid w:val="009500E7"/>
    <w:rsid w:val="00953A18"/>
    <w:rsid w:val="00976FD3"/>
    <w:rsid w:val="0098277D"/>
    <w:rsid w:val="00984175"/>
    <w:rsid w:val="00985FCE"/>
    <w:rsid w:val="009C2EF0"/>
    <w:rsid w:val="009C37B1"/>
    <w:rsid w:val="009C4C4B"/>
    <w:rsid w:val="00A21B21"/>
    <w:rsid w:val="00A30A67"/>
    <w:rsid w:val="00A3189B"/>
    <w:rsid w:val="00A56AC2"/>
    <w:rsid w:val="00AB5F01"/>
    <w:rsid w:val="00AD7C71"/>
    <w:rsid w:val="00AF5E88"/>
    <w:rsid w:val="00B1708A"/>
    <w:rsid w:val="00B50A97"/>
    <w:rsid w:val="00B5310A"/>
    <w:rsid w:val="00BA50AF"/>
    <w:rsid w:val="00BB71D1"/>
    <w:rsid w:val="00BD547D"/>
    <w:rsid w:val="00C13F93"/>
    <w:rsid w:val="00C57B10"/>
    <w:rsid w:val="00C63C3C"/>
    <w:rsid w:val="00C853E2"/>
    <w:rsid w:val="00C977E7"/>
    <w:rsid w:val="00CA3823"/>
    <w:rsid w:val="00CA3D17"/>
    <w:rsid w:val="00CB0BF9"/>
    <w:rsid w:val="00CB37E8"/>
    <w:rsid w:val="00CC79A3"/>
    <w:rsid w:val="00CF05D2"/>
    <w:rsid w:val="00CF48E9"/>
    <w:rsid w:val="00D1619F"/>
    <w:rsid w:val="00D21E35"/>
    <w:rsid w:val="00D44992"/>
    <w:rsid w:val="00D54DF4"/>
    <w:rsid w:val="00D60FD5"/>
    <w:rsid w:val="00D8488F"/>
    <w:rsid w:val="00DA0186"/>
    <w:rsid w:val="00DB1B0C"/>
    <w:rsid w:val="00DB53D2"/>
    <w:rsid w:val="00DC0A38"/>
    <w:rsid w:val="00DD6A74"/>
    <w:rsid w:val="00DF4E31"/>
    <w:rsid w:val="00E237A1"/>
    <w:rsid w:val="00E3004F"/>
    <w:rsid w:val="00E32601"/>
    <w:rsid w:val="00E35A61"/>
    <w:rsid w:val="00E434E3"/>
    <w:rsid w:val="00E67A9D"/>
    <w:rsid w:val="00E709CE"/>
    <w:rsid w:val="00E73033"/>
    <w:rsid w:val="00E81964"/>
    <w:rsid w:val="00E8680A"/>
    <w:rsid w:val="00E94D30"/>
    <w:rsid w:val="00EA2201"/>
    <w:rsid w:val="00EB3B2A"/>
    <w:rsid w:val="00EB6C9D"/>
    <w:rsid w:val="00EC0A2B"/>
    <w:rsid w:val="00F11BB4"/>
    <w:rsid w:val="00F21DC2"/>
    <w:rsid w:val="00F21FAA"/>
    <w:rsid w:val="00F47CEF"/>
    <w:rsid w:val="00F73169"/>
    <w:rsid w:val="00F81921"/>
    <w:rsid w:val="00FA1D30"/>
    <w:rsid w:val="00FE6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OP heading - 1st row,h-manual"/>
    <w:basedOn w:val="Normal"/>
    <w:next w:val="Normal"/>
    <w:link w:val="Ttulo1Car"/>
    <w:qFormat/>
    <w:rsid w:val="008A1BE2"/>
    <w:pPr>
      <w:keepNext/>
      <w:spacing w:before="240" w:after="120"/>
      <w:outlineLvl w:val="0"/>
    </w:pPr>
    <w:rPr>
      <w:rFonts w:ascii="Arial" w:hAnsi="Arial" w:cs="Arial"/>
      <w:b/>
      <w:cap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7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7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0A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6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OPheading">
    <w:name w:val="SOP heading"/>
    <w:basedOn w:val="Fuentedeprrafopredeter"/>
    <w:rsid w:val="007557DC"/>
    <w:rPr>
      <w:rFonts w:ascii="Arial" w:hAnsi="Arial" w:cs="Arial" w:hint="default"/>
      <w:b/>
      <w:bCs w:val="0"/>
      <w:sz w:val="22"/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755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1B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B4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035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CB4"/>
    <w:rPr>
      <w:color w:val="0000FF" w:themeColor="hyperlink"/>
      <w:u w:val="single"/>
    </w:rPr>
  </w:style>
  <w:style w:type="character" w:customStyle="1" w:styleId="Ttulo1Car">
    <w:name w:val="Título 1 Car"/>
    <w:aliases w:val="SOP heading - 1st row Car,h-manual Car"/>
    <w:basedOn w:val="Fuentedeprrafopredeter"/>
    <w:link w:val="Ttulo1"/>
    <w:rsid w:val="008A1BE2"/>
    <w:rPr>
      <w:rFonts w:ascii="Arial" w:eastAsia="Times New Roman" w:hAnsi="Arial" w:cs="Arial"/>
      <w:b/>
      <w:caps/>
      <w:sz w:val="24"/>
      <w:szCs w:val="24"/>
      <w:lang w:val="en-US"/>
    </w:rPr>
  </w:style>
  <w:style w:type="paragraph" w:customStyle="1" w:styleId="List-Level1">
    <w:name w:val="List- Level 1"/>
    <w:basedOn w:val="Normal"/>
    <w:rsid w:val="008A1BE2"/>
    <w:pPr>
      <w:tabs>
        <w:tab w:val="num" w:pos="72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level1bodystyle">
    <w:name w:val="level 1 body style"/>
    <w:basedOn w:val="Normal"/>
    <w:rsid w:val="008A1BE2"/>
    <w:pPr>
      <w:spacing w:after="120"/>
      <w:ind w:left="360"/>
      <w:outlineLvl w:val="0"/>
    </w:pPr>
    <w:rPr>
      <w:rFonts w:ascii="Arial" w:hAnsi="Arial" w:cs="Arial"/>
      <w:szCs w:val="20"/>
      <w:lang w:val="en-US" w:eastAsia="en-US"/>
    </w:rPr>
  </w:style>
  <w:style w:type="paragraph" w:styleId="Textoindependiente">
    <w:name w:val="Body Text"/>
    <w:basedOn w:val="Normal"/>
    <w:link w:val="TextoindependienteCar"/>
    <w:semiHidden/>
    <w:rsid w:val="008A1BE2"/>
    <w:pPr>
      <w:spacing w:after="120"/>
      <w:jc w:val="both"/>
    </w:pPr>
    <w:rPr>
      <w:rFonts w:ascii="Arial" w:hAnsi="Arial" w:cs="Arial"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A1BE2"/>
    <w:rPr>
      <w:rFonts w:ascii="Arial" w:eastAsia="Times New Roman" w:hAnsi="Arial" w:cs="Arial"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67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List-Level3">
    <w:name w:val="List- Level 3"/>
    <w:basedOn w:val="Normal"/>
    <w:rsid w:val="00E67A9D"/>
    <w:pPr>
      <w:spacing w:after="120"/>
      <w:ind w:left="1584" w:hanging="594"/>
    </w:pPr>
    <w:rPr>
      <w:rFonts w:ascii="Arial" w:hAnsi="Arial" w:cs="Arial"/>
      <w:szCs w:val="20"/>
      <w:lang w:val="en-US" w:eastAsia="en-US"/>
    </w:rPr>
  </w:style>
  <w:style w:type="paragraph" w:customStyle="1" w:styleId="level2bodystyle">
    <w:name w:val="level 2  body style"/>
    <w:basedOn w:val="Normal"/>
    <w:rsid w:val="00E67A9D"/>
    <w:pPr>
      <w:spacing w:after="120"/>
      <w:ind w:left="990"/>
      <w:outlineLvl w:val="0"/>
    </w:pPr>
    <w:rPr>
      <w:rFonts w:ascii="Arial" w:hAnsi="Arial" w:cs="Arial"/>
      <w:sz w:val="22"/>
      <w:szCs w:val="20"/>
      <w:lang w:val="en-US" w:eastAsia="en-US"/>
    </w:rPr>
  </w:style>
  <w:style w:type="paragraph" w:customStyle="1" w:styleId="procedurestablestyle">
    <w:name w:val="procedures table style"/>
    <w:basedOn w:val="level1bodystyle"/>
    <w:rsid w:val="00B50A97"/>
    <w:pPr>
      <w:spacing w:after="60"/>
      <w:ind w:left="0"/>
    </w:pPr>
    <w:rPr>
      <w:bCs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A41E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A41E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C79A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C79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4bodystyle">
    <w:name w:val="Level 4 body style"/>
    <w:basedOn w:val="Normal"/>
    <w:rsid w:val="00DA0186"/>
    <w:pPr>
      <w:spacing w:after="120"/>
      <w:ind w:left="1152"/>
    </w:pPr>
    <w:rPr>
      <w:rFonts w:ascii="Arial" w:hAnsi="Arial" w:cs="Arial"/>
      <w:szCs w:val="20"/>
      <w:lang w:val="en-US" w:eastAsia="en-US"/>
    </w:rPr>
  </w:style>
  <w:style w:type="character" w:customStyle="1" w:styleId="longtext">
    <w:name w:val="long_text"/>
    <w:basedOn w:val="Fuentedeprrafopredeter"/>
    <w:rsid w:val="0018311D"/>
  </w:style>
  <w:style w:type="paragraph" w:customStyle="1" w:styleId="List-level4">
    <w:name w:val="List- level 4"/>
    <w:basedOn w:val="Normal"/>
    <w:rsid w:val="00DD6A74"/>
    <w:pPr>
      <w:tabs>
        <w:tab w:val="num" w:pos="720"/>
        <w:tab w:val="left" w:pos="216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SOPLevel1">
    <w:name w:val="SOP Level 1"/>
    <w:basedOn w:val="Normal"/>
    <w:rsid w:val="0066775B"/>
    <w:pPr>
      <w:numPr>
        <w:numId w:val="2"/>
      </w:numPr>
      <w:spacing w:before="40" w:after="40"/>
    </w:pPr>
    <w:rPr>
      <w:rFonts w:ascii="Arial" w:hAnsi="Arial" w:cs="Tahoma"/>
      <w:b/>
      <w:sz w:val="20"/>
      <w:lang w:val="en-US" w:eastAsia="en-US"/>
    </w:rPr>
  </w:style>
  <w:style w:type="paragraph" w:customStyle="1" w:styleId="SOPLevel2">
    <w:name w:val="SOP Level 2"/>
    <w:basedOn w:val="SOPLevel1"/>
    <w:rsid w:val="0066775B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6775B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6775B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66775B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6775B"/>
    <w:pPr>
      <w:numPr>
        <w:ilvl w:val="5"/>
      </w:numPr>
      <w:ind w:left="5400" w:hanging="1440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8462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customStyle="1" w:styleId="Default">
    <w:name w:val="Default"/>
    <w:rsid w:val="00207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72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paragraph" w:customStyle="1" w:styleId="Level3bodystyle">
    <w:name w:val="Level 3 body style"/>
    <w:basedOn w:val="Normal"/>
    <w:rsid w:val="0098277D"/>
    <w:pPr>
      <w:spacing w:after="120"/>
      <w:ind w:left="1620"/>
    </w:pPr>
    <w:rPr>
      <w:rFonts w:ascii="Arial" w:hAnsi="Arial" w:cs="Arial"/>
      <w:szCs w:val="20"/>
      <w:lang w:val="en-US" w:eastAsia="en-US"/>
    </w:rPr>
  </w:style>
  <w:style w:type="paragraph" w:customStyle="1" w:styleId="List-level5">
    <w:name w:val="List-level 5"/>
    <w:basedOn w:val="Normal"/>
    <w:rsid w:val="0098277D"/>
    <w:pPr>
      <w:spacing w:after="120"/>
      <w:ind w:left="2340" w:hanging="360"/>
    </w:pPr>
    <w:rPr>
      <w:rFonts w:ascii="Arial" w:hAnsi="Arial" w:cs="Arial"/>
      <w:sz w:val="22"/>
      <w:szCs w:val="20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0A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customStyle="1" w:styleId="List-Level2">
    <w:name w:val="List -Level 2"/>
    <w:basedOn w:val="Normal"/>
    <w:next w:val="Normal"/>
    <w:rsid w:val="00DC0A38"/>
    <w:pPr>
      <w:widowControl w:val="0"/>
      <w:autoSpaceDE w:val="0"/>
      <w:autoSpaceDN w:val="0"/>
      <w:adjustRightInd w:val="0"/>
      <w:snapToGrid w:val="0"/>
      <w:spacing w:after="60"/>
      <w:ind w:left="1440" w:hanging="360"/>
    </w:pPr>
    <w:rPr>
      <w:rFonts w:ascii="Arial" w:hAnsi="Arial" w:cs="Arial"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aliases w:val="SOP heading - 1st row,h-manual"/>
    <w:basedOn w:val="Normal"/>
    <w:next w:val="Normal"/>
    <w:link w:val="Ttulo1Car"/>
    <w:qFormat/>
    <w:rsid w:val="008A1BE2"/>
    <w:pPr>
      <w:keepNext/>
      <w:spacing w:before="240" w:after="120"/>
      <w:outlineLvl w:val="0"/>
    </w:pPr>
    <w:rPr>
      <w:rFonts w:ascii="Arial" w:hAnsi="Arial" w:cs="Arial"/>
      <w:b/>
      <w:cap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7A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7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0A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6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OPheading">
    <w:name w:val="SOP heading"/>
    <w:basedOn w:val="Fuentedeprrafopredeter"/>
    <w:rsid w:val="007557DC"/>
    <w:rPr>
      <w:rFonts w:ascii="Arial" w:hAnsi="Arial" w:cs="Arial" w:hint="default"/>
      <w:b/>
      <w:bCs w:val="0"/>
      <w:sz w:val="22"/>
      <w:bdr w:val="none" w:sz="0" w:space="0" w:color="auto" w:frame="1"/>
    </w:rPr>
  </w:style>
  <w:style w:type="table" w:styleId="Tablaconcuadrcula">
    <w:name w:val="Table Grid"/>
    <w:basedOn w:val="Tablanormal"/>
    <w:uiPriority w:val="59"/>
    <w:rsid w:val="00755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1B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BB4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035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0CB4"/>
    <w:rPr>
      <w:color w:val="0000FF" w:themeColor="hyperlink"/>
      <w:u w:val="single"/>
    </w:rPr>
  </w:style>
  <w:style w:type="character" w:customStyle="1" w:styleId="Ttulo1Car">
    <w:name w:val="Título 1 Car"/>
    <w:aliases w:val="SOP heading - 1st row Car,h-manual Car"/>
    <w:basedOn w:val="Fuentedeprrafopredeter"/>
    <w:link w:val="Ttulo1"/>
    <w:rsid w:val="008A1BE2"/>
    <w:rPr>
      <w:rFonts w:ascii="Arial" w:eastAsia="Times New Roman" w:hAnsi="Arial" w:cs="Arial"/>
      <w:b/>
      <w:caps/>
      <w:sz w:val="24"/>
      <w:szCs w:val="24"/>
      <w:lang w:val="en-US"/>
    </w:rPr>
  </w:style>
  <w:style w:type="paragraph" w:customStyle="1" w:styleId="List-Level1">
    <w:name w:val="List- Level 1"/>
    <w:basedOn w:val="Normal"/>
    <w:rsid w:val="008A1BE2"/>
    <w:pPr>
      <w:tabs>
        <w:tab w:val="num" w:pos="72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level1bodystyle">
    <w:name w:val="level 1 body style"/>
    <w:basedOn w:val="Normal"/>
    <w:rsid w:val="008A1BE2"/>
    <w:pPr>
      <w:spacing w:after="120"/>
      <w:ind w:left="360"/>
      <w:outlineLvl w:val="0"/>
    </w:pPr>
    <w:rPr>
      <w:rFonts w:ascii="Arial" w:hAnsi="Arial" w:cs="Arial"/>
      <w:szCs w:val="20"/>
      <w:lang w:val="en-US" w:eastAsia="en-US"/>
    </w:rPr>
  </w:style>
  <w:style w:type="paragraph" w:styleId="Textodecuerpo">
    <w:name w:val="Body Text"/>
    <w:basedOn w:val="Normal"/>
    <w:link w:val="TextodecuerpoCar"/>
    <w:semiHidden/>
    <w:rsid w:val="008A1BE2"/>
    <w:pPr>
      <w:spacing w:after="120"/>
      <w:jc w:val="both"/>
    </w:pPr>
    <w:rPr>
      <w:rFonts w:ascii="Arial" w:hAnsi="Arial" w:cs="Arial"/>
      <w:bCs/>
    </w:rPr>
  </w:style>
  <w:style w:type="character" w:customStyle="1" w:styleId="TextodecuerpoCar">
    <w:name w:val="Texto de cuerpo Car"/>
    <w:basedOn w:val="Fuentedeprrafopredeter"/>
    <w:link w:val="Textodecuerpo"/>
    <w:semiHidden/>
    <w:rsid w:val="008A1BE2"/>
    <w:rPr>
      <w:rFonts w:ascii="Arial" w:eastAsia="Times New Roman" w:hAnsi="Arial" w:cs="Arial"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B37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37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67A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List-Level3">
    <w:name w:val="List- Level 3"/>
    <w:basedOn w:val="Normal"/>
    <w:rsid w:val="00E67A9D"/>
    <w:pPr>
      <w:spacing w:after="120"/>
      <w:ind w:left="1584" w:hanging="594"/>
    </w:pPr>
    <w:rPr>
      <w:rFonts w:ascii="Arial" w:hAnsi="Arial" w:cs="Arial"/>
      <w:szCs w:val="20"/>
      <w:lang w:val="en-US" w:eastAsia="en-US"/>
    </w:rPr>
  </w:style>
  <w:style w:type="paragraph" w:customStyle="1" w:styleId="level2bodystyle">
    <w:name w:val="level 2  body style"/>
    <w:basedOn w:val="Normal"/>
    <w:rsid w:val="00E67A9D"/>
    <w:pPr>
      <w:spacing w:after="120"/>
      <w:ind w:left="990"/>
      <w:outlineLvl w:val="0"/>
    </w:pPr>
    <w:rPr>
      <w:rFonts w:ascii="Arial" w:hAnsi="Arial" w:cs="Arial"/>
      <w:sz w:val="22"/>
      <w:szCs w:val="20"/>
      <w:lang w:val="en-US" w:eastAsia="en-US"/>
    </w:rPr>
  </w:style>
  <w:style w:type="paragraph" w:customStyle="1" w:styleId="procedurestablestyle">
    <w:name w:val="procedures table style"/>
    <w:basedOn w:val="level1bodystyle"/>
    <w:rsid w:val="00B50A97"/>
    <w:pPr>
      <w:spacing w:after="60"/>
      <w:ind w:left="0"/>
    </w:pPr>
    <w:rPr>
      <w:bCs/>
    </w:rPr>
  </w:style>
  <w:style w:type="paragraph" w:styleId="Sangra3detdecuerpo">
    <w:name w:val="Body Text Indent 3"/>
    <w:basedOn w:val="Normal"/>
    <w:link w:val="Sangra3detdecuerpoCar"/>
    <w:uiPriority w:val="99"/>
    <w:semiHidden/>
    <w:unhideWhenUsed/>
    <w:rsid w:val="007A41ED"/>
    <w:pPr>
      <w:spacing w:after="120"/>
      <w:ind w:left="283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uiPriority w:val="99"/>
    <w:semiHidden/>
    <w:rsid w:val="007A41E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CC79A3"/>
    <w:pPr>
      <w:spacing w:after="120"/>
      <w:ind w:left="283"/>
    </w:pPr>
  </w:style>
  <w:style w:type="character" w:customStyle="1" w:styleId="SangradetdecuerpoCar">
    <w:name w:val="Sangría de t. de cuerpo Car"/>
    <w:basedOn w:val="Fuentedeprrafopredeter"/>
    <w:link w:val="Sangradetdecuerpo"/>
    <w:uiPriority w:val="99"/>
    <w:semiHidden/>
    <w:rsid w:val="00CC79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evel4bodystyle">
    <w:name w:val="Level 4 body style"/>
    <w:basedOn w:val="Normal"/>
    <w:rsid w:val="00DA0186"/>
    <w:pPr>
      <w:spacing w:after="120"/>
      <w:ind w:left="1152"/>
    </w:pPr>
    <w:rPr>
      <w:rFonts w:ascii="Arial" w:hAnsi="Arial" w:cs="Arial"/>
      <w:szCs w:val="20"/>
      <w:lang w:val="en-US" w:eastAsia="en-US"/>
    </w:rPr>
  </w:style>
  <w:style w:type="character" w:customStyle="1" w:styleId="longtext">
    <w:name w:val="long_text"/>
    <w:basedOn w:val="Fuentedeprrafopredeter"/>
    <w:rsid w:val="0018311D"/>
  </w:style>
  <w:style w:type="paragraph" w:customStyle="1" w:styleId="List-level4">
    <w:name w:val="List- level 4"/>
    <w:basedOn w:val="Normal"/>
    <w:rsid w:val="00DD6A74"/>
    <w:pPr>
      <w:tabs>
        <w:tab w:val="num" w:pos="720"/>
        <w:tab w:val="left" w:pos="2160"/>
      </w:tabs>
      <w:spacing w:after="60"/>
      <w:ind w:left="648" w:hanging="288"/>
    </w:pPr>
    <w:rPr>
      <w:rFonts w:ascii="Arial" w:hAnsi="Arial" w:cs="Arial"/>
      <w:szCs w:val="20"/>
      <w:lang w:val="en-US" w:eastAsia="en-US"/>
    </w:rPr>
  </w:style>
  <w:style w:type="paragraph" w:customStyle="1" w:styleId="SOPLevel1">
    <w:name w:val="SOP Level 1"/>
    <w:basedOn w:val="Normal"/>
    <w:rsid w:val="0066775B"/>
    <w:pPr>
      <w:numPr>
        <w:numId w:val="2"/>
      </w:numPr>
      <w:spacing w:before="40" w:after="40"/>
    </w:pPr>
    <w:rPr>
      <w:rFonts w:ascii="Arial" w:hAnsi="Arial" w:cs="Tahoma"/>
      <w:b/>
      <w:sz w:val="20"/>
      <w:lang w:val="en-US" w:eastAsia="en-US"/>
    </w:rPr>
  </w:style>
  <w:style w:type="paragraph" w:customStyle="1" w:styleId="SOPLevel2">
    <w:name w:val="SOP Level 2"/>
    <w:basedOn w:val="SOPLevel1"/>
    <w:rsid w:val="0066775B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66775B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66775B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66775B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66775B"/>
    <w:pPr>
      <w:numPr>
        <w:ilvl w:val="5"/>
      </w:numPr>
      <w:ind w:left="5400" w:hanging="1440"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8462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customStyle="1" w:styleId="Default">
    <w:name w:val="Default"/>
    <w:rsid w:val="00207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72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paragraph" w:customStyle="1" w:styleId="Level3bodystyle">
    <w:name w:val="Level 3 body style"/>
    <w:basedOn w:val="Normal"/>
    <w:rsid w:val="0098277D"/>
    <w:pPr>
      <w:spacing w:after="120"/>
      <w:ind w:left="1620"/>
    </w:pPr>
    <w:rPr>
      <w:rFonts w:ascii="Arial" w:hAnsi="Arial" w:cs="Arial"/>
      <w:szCs w:val="20"/>
      <w:lang w:val="en-US" w:eastAsia="en-US"/>
    </w:rPr>
  </w:style>
  <w:style w:type="paragraph" w:customStyle="1" w:styleId="List-level5">
    <w:name w:val="List-level 5"/>
    <w:basedOn w:val="Normal"/>
    <w:rsid w:val="0098277D"/>
    <w:pPr>
      <w:spacing w:after="120"/>
      <w:ind w:left="2340" w:hanging="360"/>
    </w:pPr>
    <w:rPr>
      <w:rFonts w:ascii="Arial" w:hAnsi="Arial" w:cs="Arial"/>
      <w:sz w:val="22"/>
      <w:szCs w:val="20"/>
      <w:lang w:val="en-U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0A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customStyle="1" w:styleId="List-Level2">
    <w:name w:val="List -Level 2"/>
    <w:basedOn w:val="Normal"/>
    <w:next w:val="Normal"/>
    <w:rsid w:val="00DC0A38"/>
    <w:pPr>
      <w:widowControl w:val="0"/>
      <w:autoSpaceDE w:val="0"/>
      <w:autoSpaceDN w:val="0"/>
      <w:adjustRightInd w:val="0"/>
      <w:snapToGrid w:val="0"/>
      <w:spacing w:after="60"/>
      <w:ind w:left="1440" w:hanging="360"/>
    </w:pPr>
    <w:rPr>
      <w:rFonts w:ascii="Arial" w:hAnsi="Arial" w:cs="Arial"/>
      <w:sz w:val="22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139686">
      <w:bodyDiv w:val="1"/>
      <w:marLeft w:val="0"/>
      <w:marRight w:val="0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9169">
                  <w:marLeft w:val="1449"/>
                  <w:marRight w:val="24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9325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943">
      <w:bodyDiv w:val="1"/>
      <w:marLeft w:val="0"/>
      <w:marRight w:val="0"/>
      <w:marTop w:val="27"/>
      <w:marBottom w:val="2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0312">
                  <w:marLeft w:val="1449"/>
                  <w:marRight w:val="2406"/>
                  <w:marTop w:val="0"/>
                  <w:marBottom w:val="0"/>
                  <w:divBdr>
                    <w:top w:val="none" w:sz="0" w:space="0" w:color="auto"/>
                    <w:left w:val="single" w:sz="4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7789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ownloads/ICECI/EnforcementActions/BioresearchMonitoring/ucm133768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CAD3-5E51-4C2F-A829-3AA0E2D4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787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Universitario Facultad de Medicina -UANL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JGGL</dc:creator>
  <cp:lastModifiedBy>Annie Carlos</cp:lastModifiedBy>
  <cp:revision>3</cp:revision>
  <cp:lastPrinted>2011-08-12T20:13:00Z</cp:lastPrinted>
  <dcterms:created xsi:type="dcterms:W3CDTF">2013-12-17T05:54:00Z</dcterms:created>
  <dcterms:modified xsi:type="dcterms:W3CDTF">2016-02-15T17:24:00Z</dcterms:modified>
</cp:coreProperties>
</file>