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B4" w:rsidRPr="001B51F6" w:rsidRDefault="00F11BB4" w:rsidP="00DB53D2">
      <w:pPr>
        <w:jc w:val="both"/>
        <w:rPr>
          <w:rFonts w:ascii="Arial" w:hAnsi="Arial" w:cs="Arial"/>
        </w:rPr>
      </w:pPr>
    </w:p>
    <w:p w:rsidR="00F11BB4" w:rsidRDefault="00803517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>I. PROPÓSITO</w:t>
      </w:r>
    </w:p>
    <w:p w:rsidR="00CE36E0" w:rsidRPr="001B51F6" w:rsidRDefault="00CE36E0" w:rsidP="00DB53D2">
      <w:pPr>
        <w:jc w:val="both"/>
        <w:rPr>
          <w:rFonts w:ascii="Arial" w:hAnsi="Arial" w:cs="Arial"/>
          <w:b/>
        </w:rPr>
      </w:pPr>
    </w:p>
    <w:p w:rsidR="004D1894" w:rsidRPr="001B51F6" w:rsidRDefault="00803517" w:rsidP="00D21E35">
      <w:pPr>
        <w:ind w:firstLine="708"/>
        <w:jc w:val="both"/>
        <w:rPr>
          <w:rFonts w:ascii="Arial" w:hAnsi="Arial" w:cs="Arial"/>
        </w:rPr>
      </w:pPr>
      <w:r w:rsidRPr="001B51F6">
        <w:rPr>
          <w:rFonts w:ascii="Arial" w:hAnsi="Arial" w:cs="Arial"/>
        </w:rPr>
        <w:t>I.1.</w:t>
      </w:r>
      <w:r w:rsidR="004D1894" w:rsidRPr="001B51F6">
        <w:rPr>
          <w:rFonts w:ascii="Arial" w:hAnsi="Arial" w:cs="Arial"/>
        </w:rPr>
        <w:t xml:space="preserve">Describir </w:t>
      </w:r>
      <w:r w:rsidR="00EA2201" w:rsidRPr="001B51F6">
        <w:rPr>
          <w:rFonts w:ascii="Arial" w:hAnsi="Arial" w:cs="Arial"/>
        </w:rPr>
        <w:t xml:space="preserve">los </w:t>
      </w:r>
      <w:r w:rsidR="00D21E35" w:rsidRPr="001B51F6">
        <w:rPr>
          <w:rFonts w:ascii="Arial" w:hAnsi="Arial" w:cs="Arial"/>
        </w:rPr>
        <w:t xml:space="preserve">procesos mediante </w:t>
      </w:r>
      <w:r w:rsidR="003121BB">
        <w:rPr>
          <w:rFonts w:ascii="Arial" w:hAnsi="Arial" w:cs="Arial"/>
        </w:rPr>
        <w:t xml:space="preserve">los cuales </w:t>
      </w:r>
      <w:r w:rsidR="005F4C12">
        <w:rPr>
          <w:rFonts w:ascii="Arial" w:hAnsi="Arial" w:cs="Arial"/>
        </w:rPr>
        <w:t xml:space="preserve">algunos estudios </w:t>
      </w:r>
      <w:r w:rsidR="003121BB">
        <w:rPr>
          <w:rFonts w:ascii="Arial" w:hAnsi="Arial" w:cs="Arial"/>
        </w:rPr>
        <w:t>pueden ser</w:t>
      </w:r>
      <w:r w:rsidR="005F4C12">
        <w:rPr>
          <w:rFonts w:ascii="Arial" w:hAnsi="Arial" w:cs="Arial"/>
        </w:rPr>
        <w:t xml:space="preserve"> exent</w:t>
      </w:r>
      <w:r w:rsidR="003121BB">
        <w:rPr>
          <w:rFonts w:ascii="Arial" w:hAnsi="Arial" w:cs="Arial"/>
        </w:rPr>
        <w:t xml:space="preserve">ados </w:t>
      </w:r>
      <w:r w:rsidR="00C87FFE">
        <w:rPr>
          <w:rFonts w:ascii="Arial" w:hAnsi="Arial" w:cs="Arial"/>
        </w:rPr>
        <w:t>o modifica</w:t>
      </w:r>
      <w:r w:rsidR="003121BB">
        <w:rPr>
          <w:rFonts w:ascii="Arial" w:hAnsi="Arial" w:cs="Arial"/>
        </w:rPr>
        <w:t>r</w:t>
      </w:r>
      <w:r w:rsidR="005F4C12">
        <w:rPr>
          <w:rFonts w:ascii="Arial" w:hAnsi="Arial" w:cs="Arial"/>
        </w:rPr>
        <w:t xml:space="preserve"> </w:t>
      </w:r>
      <w:r w:rsidR="00EE0251">
        <w:rPr>
          <w:rFonts w:ascii="Arial" w:hAnsi="Arial" w:cs="Arial"/>
        </w:rPr>
        <w:t>su</w:t>
      </w:r>
      <w:r w:rsidR="005F4C12">
        <w:rPr>
          <w:rFonts w:ascii="Arial" w:hAnsi="Arial" w:cs="Arial"/>
        </w:rPr>
        <w:t xml:space="preserve"> proceso de </w:t>
      </w:r>
      <w:r w:rsidR="003121BB">
        <w:rPr>
          <w:rFonts w:ascii="Arial" w:hAnsi="Arial" w:cs="Arial"/>
        </w:rPr>
        <w:t>c</w:t>
      </w:r>
      <w:r w:rsidR="005F4C12">
        <w:rPr>
          <w:rFonts w:ascii="Arial" w:hAnsi="Arial" w:cs="Arial"/>
        </w:rPr>
        <w:t>onsentimiento.</w:t>
      </w:r>
    </w:p>
    <w:p w:rsidR="00D21E35" w:rsidRPr="001B51F6" w:rsidRDefault="009159FF" w:rsidP="00D21E35">
      <w:pPr>
        <w:ind w:firstLine="708"/>
        <w:jc w:val="both"/>
        <w:rPr>
          <w:rFonts w:ascii="Arial" w:hAnsi="Arial" w:cs="Arial"/>
        </w:rPr>
      </w:pPr>
      <w:r w:rsidRPr="001B51F6">
        <w:rPr>
          <w:rFonts w:ascii="Arial" w:hAnsi="Arial" w:cs="Arial"/>
        </w:rPr>
        <w:t xml:space="preserve">I.2. Inicia con el  </w:t>
      </w:r>
      <w:r w:rsidR="005F4C12">
        <w:rPr>
          <w:rFonts w:ascii="Arial" w:hAnsi="Arial" w:cs="Arial"/>
        </w:rPr>
        <w:t>sometimiento de</w:t>
      </w:r>
      <w:r w:rsidR="003121BB">
        <w:rPr>
          <w:rFonts w:ascii="Arial" w:hAnsi="Arial" w:cs="Arial"/>
        </w:rPr>
        <w:t xml:space="preserve">l documento </w:t>
      </w:r>
      <w:r w:rsidR="005F4C12">
        <w:rPr>
          <w:rFonts w:ascii="Arial" w:hAnsi="Arial" w:cs="Arial"/>
        </w:rPr>
        <w:t xml:space="preserve">de </w:t>
      </w:r>
      <w:r w:rsidR="00AA4F0A" w:rsidRPr="001B51F6">
        <w:rPr>
          <w:rFonts w:ascii="Arial" w:hAnsi="Arial" w:cs="Arial"/>
        </w:rPr>
        <w:t>consentimiento.</w:t>
      </w:r>
    </w:p>
    <w:p w:rsidR="00C87FFE" w:rsidRDefault="00AA4F0A" w:rsidP="00D21E35">
      <w:pPr>
        <w:ind w:firstLine="708"/>
        <w:jc w:val="both"/>
        <w:rPr>
          <w:rFonts w:ascii="Arial" w:hAnsi="Arial" w:cs="Arial"/>
        </w:rPr>
      </w:pPr>
      <w:r w:rsidRPr="001B51F6">
        <w:rPr>
          <w:rFonts w:ascii="Arial" w:hAnsi="Arial" w:cs="Arial"/>
        </w:rPr>
        <w:t>I.</w:t>
      </w:r>
      <w:r w:rsidR="005F4C12">
        <w:rPr>
          <w:rFonts w:ascii="Arial" w:hAnsi="Arial" w:cs="Arial"/>
        </w:rPr>
        <w:t>3. Termina cuando se obtiene la autorización del C</w:t>
      </w:r>
      <w:r w:rsidR="00CE36E0">
        <w:rPr>
          <w:rFonts w:ascii="Arial" w:hAnsi="Arial" w:cs="Arial"/>
        </w:rPr>
        <w:t>EI</w:t>
      </w:r>
      <w:r w:rsidR="005F4C12">
        <w:rPr>
          <w:rFonts w:ascii="Arial" w:hAnsi="Arial" w:cs="Arial"/>
        </w:rPr>
        <w:t xml:space="preserve"> de dicha exención</w:t>
      </w:r>
      <w:r w:rsidR="00C87FFE">
        <w:rPr>
          <w:rFonts w:ascii="Arial" w:hAnsi="Arial" w:cs="Arial"/>
        </w:rPr>
        <w:t xml:space="preserve"> o modificación.</w:t>
      </w:r>
    </w:p>
    <w:p w:rsidR="00D21E35" w:rsidRPr="001B51F6" w:rsidRDefault="00C87FFE" w:rsidP="00D21E35">
      <w:pPr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>1.4. Determina que proceso informativo se llevar</w:t>
      </w:r>
      <w:r w:rsidR="003121BB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a cabo para notificar al participante</w:t>
      </w:r>
      <w:r w:rsidR="003121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 esto aplica.</w:t>
      </w:r>
    </w:p>
    <w:p w:rsidR="00CC79A3" w:rsidRPr="001B51F6" w:rsidRDefault="00CC79A3" w:rsidP="00CC79A3">
      <w:pPr>
        <w:ind w:firstLine="708"/>
        <w:jc w:val="both"/>
        <w:rPr>
          <w:rFonts w:ascii="Arial" w:hAnsi="Arial" w:cs="Arial"/>
        </w:rPr>
      </w:pPr>
    </w:p>
    <w:p w:rsidR="00803517" w:rsidRPr="001B51F6" w:rsidRDefault="00803517" w:rsidP="00DB53D2">
      <w:pPr>
        <w:jc w:val="both"/>
        <w:rPr>
          <w:rFonts w:ascii="Arial" w:hAnsi="Arial" w:cs="Arial"/>
          <w:b/>
        </w:rPr>
      </w:pPr>
    </w:p>
    <w:p w:rsidR="00803517" w:rsidRPr="001B51F6" w:rsidRDefault="00803517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>II. REVISIONES DE VERSIONES PREVIAS</w:t>
      </w:r>
    </w:p>
    <w:p w:rsidR="00803517" w:rsidRPr="001B51F6" w:rsidRDefault="00CB37E8" w:rsidP="00DB53D2">
      <w:pPr>
        <w:ind w:firstLine="708"/>
        <w:jc w:val="both"/>
        <w:rPr>
          <w:rFonts w:ascii="Arial" w:hAnsi="Arial" w:cs="Arial"/>
        </w:rPr>
      </w:pPr>
      <w:r w:rsidRPr="001B51F6">
        <w:rPr>
          <w:rFonts w:ascii="Arial" w:hAnsi="Arial" w:cs="Arial"/>
        </w:rPr>
        <w:t>Ninguna</w:t>
      </w:r>
    </w:p>
    <w:p w:rsidR="00803517" w:rsidRPr="001B51F6" w:rsidRDefault="00803517" w:rsidP="00DB53D2">
      <w:pPr>
        <w:jc w:val="both"/>
        <w:rPr>
          <w:rFonts w:ascii="Arial" w:hAnsi="Arial" w:cs="Arial"/>
          <w:b/>
        </w:rPr>
      </w:pPr>
    </w:p>
    <w:p w:rsidR="00803517" w:rsidRPr="001B51F6" w:rsidRDefault="00803517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>III. POLÍTICAS</w:t>
      </w:r>
    </w:p>
    <w:p w:rsidR="005E10C3" w:rsidRPr="001B51F6" w:rsidRDefault="005E10C3" w:rsidP="00DB53D2">
      <w:pPr>
        <w:jc w:val="both"/>
        <w:rPr>
          <w:rFonts w:ascii="Arial" w:hAnsi="Arial" w:cs="Arial"/>
          <w:b/>
        </w:rPr>
      </w:pPr>
    </w:p>
    <w:p w:rsidR="005F4C12" w:rsidRPr="00B87EDE" w:rsidRDefault="005F4C12" w:rsidP="005F4C12">
      <w:pPr>
        <w:jc w:val="both"/>
        <w:rPr>
          <w:rFonts w:ascii="Arial" w:hAnsi="Arial" w:cs="Arial"/>
        </w:rPr>
      </w:pPr>
      <w:r w:rsidRPr="00B87EDE">
        <w:rPr>
          <w:rFonts w:ascii="Arial" w:hAnsi="Arial" w:cs="Arial"/>
        </w:rPr>
        <w:t xml:space="preserve">El </w:t>
      </w:r>
      <w:r w:rsidR="00CE36E0">
        <w:rPr>
          <w:rFonts w:ascii="Arial" w:hAnsi="Arial" w:cs="Arial"/>
        </w:rPr>
        <w:t>CEI</w:t>
      </w:r>
      <w:r w:rsidR="003121BB">
        <w:rPr>
          <w:rFonts w:ascii="Arial" w:hAnsi="Arial" w:cs="Arial"/>
        </w:rPr>
        <w:t xml:space="preserve"> </w:t>
      </w:r>
      <w:r w:rsidRPr="00B87EDE">
        <w:rPr>
          <w:rFonts w:ascii="Arial" w:hAnsi="Arial" w:cs="Arial"/>
        </w:rPr>
        <w:t xml:space="preserve">reconoce que puede haber exenciones </w:t>
      </w:r>
      <w:r w:rsidR="00C87FFE">
        <w:rPr>
          <w:rFonts w:ascii="Arial" w:hAnsi="Arial" w:cs="Arial"/>
        </w:rPr>
        <w:t xml:space="preserve">o modificaciones </w:t>
      </w:r>
      <w:r w:rsidRPr="00B87EDE">
        <w:rPr>
          <w:rFonts w:ascii="Arial" w:hAnsi="Arial" w:cs="Arial"/>
        </w:rPr>
        <w:t xml:space="preserve">de </w:t>
      </w:r>
      <w:r w:rsidR="003121BB">
        <w:rPr>
          <w:rFonts w:ascii="Arial" w:hAnsi="Arial" w:cs="Arial"/>
        </w:rPr>
        <w:t xml:space="preserve">los </w:t>
      </w:r>
      <w:r w:rsidRPr="00B87EDE">
        <w:rPr>
          <w:rFonts w:ascii="Arial" w:hAnsi="Arial" w:cs="Arial"/>
        </w:rPr>
        <w:t xml:space="preserve">requisitos </w:t>
      </w:r>
      <w:r w:rsidR="003121BB">
        <w:rPr>
          <w:rFonts w:ascii="Arial" w:hAnsi="Arial" w:cs="Arial"/>
        </w:rPr>
        <w:t xml:space="preserve">solicitados </w:t>
      </w:r>
      <w:r w:rsidRPr="00B87EDE">
        <w:rPr>
          <w:rFonts w:ascii="Arial" w:hAnsi="Arial" w:cs="Arial"/>
        </w:rPr>
        <w:t xml:space="preserve">para </w:t>
      </w:r>
      <w:r w:rsidR="003121BB">
        <w:rPr>
          <w:rFonts w:ascii="Arial" w:hAnsi="Arial" w:cs="Arial"/>
        </w:rPr>
        <w:t xml:space="preserve">el </w:t>
      </w:r>
      <w:r w:rsidRPr="00B87EDE">
        <w:rPr>
          <w:rFonts w:ascii="Arial" w:hAnsi="Arial" w:cs="Arial"/>
        </w:rPr>
        <w:t xml:space="preserve">consentimiento informado y/o para </w:t>
      </w:r>
      <w:r w:rsidR="003121BB">
        <w:rPr>
          <w:rFonts w:ascii="Arial" w:hAnsi="Arial" w:cs="Arial"/>
        </w:rPr>
        <w:t xml:space="preserve">su </w:t>
      </w:r>
      <w:r w:rsidRPr="00B87EDE">
        <w:rPr>
          <w:rFonts w:ascii="Arial" w:hAnsi="Arial" w:cs="Arial"/>
        </w:rPr>
        <w:t>documentación de la siguiente manera:</w:t>
      </w:r>
    </w:p>
    <w:p w:rsidR="005F4C12" w:rsidRPr="00B87EDE" w:rsidRDefault="005F4C12" w:rsidP="005F4C12">
      <w:pPr>
        <w:pStyle w:val="Ttulo1"/>
        <w:jc w:val="both"/>
        <w:rPr>
          <w:lang w:val="es-ES"/>
        </w:rPr>
      </w:pPr>
      <w:r w:rsidRPr="00B87EDE">
        <w:rPr>
          <w:lang w:val="es-ES"/>
        </w:rPr>
        <w:t xml:space="preserve">A. </w:t>
      </w:r>
      <w:r w:rsidR="003121BB">
        <w:rPr>
          <w:lang w:val="es-ES"/>
        </w:rPr>
        <w:t>EXENCIÓN</w:t>
      </w:r>
      <w:r w:rsidRPr="00B87EDE">
        <w:rPr>
          <w:lang w:val="es-ES"/>
        </w:rPr>
        <w:t xml:space="preserve"> del consentimiento informado </w:t>
      </w:r>
    </w:p>
    <w:p w:rsidR="005F4C12" w:rsidRPr="00B87EDE" w:rsidRDefault="005F4C12" w:rsidP="005F4C12">
      <w:pPr>
        <w:pStyle w:val="Sangradetextonormal"/>
        <w:spacing w:before="120"/>
        <w:ind w:left="0"/>
        <w:jc w:val="both"/>
        <w:rPr>
          <w:rFonts w:ascii="Arial" w:hAnsi="Arial" w:cs="Arial"/>
        </w:rPr>
      </w:pPr>
      <w:r w:rsidRPr="00B87EDE">
        <w:rPr>
          <w:rFonts w:ascii="Arial" w:hAnsi="Arial" w:cs="Arial"/>
        </w:rPr>
        <w:t xml:space="preserve">En ciertas circunstancias, el </w:t>
      </w:r>
      <w:r w:rsidR="00CE36E0">
        <w:rPr>
          <w:rFonts w:ascii="Arial" w:hAnsi="Arial" w:cs="Arial"/>
        </w:rPr>
        <w:t>CEI</w:t>
      </w:r>
      <w:r w:rsidRPr="00B87EDE">
        <w:rPr>
          <w:rFonts w:ascii="Arial" w:hAnsi="Arial" w:cs="Arial"/>
        </w:rPr>
        <w:t xml:space="preserve"> puede </w:t>
      </w:r>
      <w:r w:rsidR="003121BB">
        <w:rPr>
          <w:rFonts w:ascii="Arial" w:hAnsi="Arial" w:cs="Arial"/>
        </w:rPr>
        <w:t xml:space="preserve">exentar </w:t>
      </w:r>
      <w:r w:rsidRPr="00B87EDE">
        <w:rPr>
          <w:rFonts w:ascii="Arial" w:hAnsi="Arial" w:cs="Arial"/>
        </w:rPr>
        <w:t>el requisito de obtener consentimiento informado</w:t>
      </w:r>
      <w:r w:rsidR="003121BB">
        <w:rPr>
          <w:rFonts w:ascii="Arial" w:hAnsi="Arial" w:cs="Arial"/>
        </w:rPr>
        <w:t xml:space="preserve">, </w:t>
      </w:r>
      <w:r w:rsidRPr="00B87EDE">
        <w:rPr>
          <w:rFonts w:ascii="Arial" w:hAnsi="Arial" w:cs="Arial"/>
        </w:rPr>
        <w:t xml:space="preserve">si el </w:t>
      </w:r>
      <w:r w:rsidR="00CE36E0">
        <w:rPr>
          <w:rFonts w:ascii="Arial" w:hAnsi="Arial" w:cs="Arial"/>
        </w:rPr>
        <w:t>CEI</w:t>
      </w:r>
      <w:r w:rsidRPr="00B87EDE">
        <w:rPr>
          <w:rFonts w:ascii="Arial" w:hAnsi="Arial" w:cs="Arial"/>
        </w:rPr>
        <w:t xml:space="preserve">  encuentra que la investigación cumple </w:t>
      </w:r>
      <w:r w:rsidR="00EE0251">
        <w:rPr>
          <w:rFonts w:ascii="Arial" w:hAnsi="Arial" w:cs="Arial"/>
        </w:rPr>
        <w:t xml:space="preserve">con </w:t>
      </w:r>
      <w:r w:rsidRPr="00B87EDE">
        <w:rPr>
          <w:rFonts w:ascii="Arial" w:hAnsi="Arial" w:cs="Arial"/>
        </w:rPr>
        <w:t>criterios específicos que están acorde con la</w:t>
      </w:r>
      <w:r w:rsidR="003121BB">
        <w:rPr>
          <w:rFonts w:ascii="Arial" w:hAnsi="Arial" w:cs="Arial"/>
        </w:rPr>
        <w:t>s</w:t>
      </w:r>
      <w:r w:rsidRPr="00B87EDE">
        <w:rPr>
          <w:rFonts w:ascii="Arial" w:hAnsi="Arial" w:cs="Arial"/>
        </w:rPr>
        <w:t xml:space="preserve"> disposici</w:t>
      </w:r>
      <w:r w:rsidR="003121BB">
        <w:rPr>
          <w:rFonts w:ascii="Arial" w:hAnsi="Arial" w:cs="Arial"/>
        </w:rPr>
        <w:t>ones</w:t>
      </w:r>
      <w:r w:rsidRPr="00B87EDE">
        <w:rPr>
          <w:rFonts w:ascii="Arial" w:hAnsi="Arial" w:cs="Arial"/>
        </w:rPr>
        <w:t xml:space="preserve"> </w:t>
      </w:r>
      <w:r w:rsidR="003121BB">
        <w:rPr>
          <w:rFonts w:ascii="Arial" w:hAnsi="Arial" w:cs="Arial"/>
        </w:rPr>
        <w:t xml:space="preserve">de la norma </w:t>
      </w:r>
      <w:r w:rsidRPr="00B87EDE">
        <w:rPr>
          <w:rFonts w:ascii="Arial" w:hAnsi="Arial" w:cs="Arial"/>
        </w:rPr>
        <w:t>45 CFR 46.116</w:t>
      </w:r>
      <w:r w:rsidR="003121BB">
        <w:rPr>
          <w:rFonts w:ascii="Arial" w:hAnsi="Arial" w:cs="Arial"/>
        </w:rPr>
        <w:t xml:space="preserve"> </w:t>
      </w:r>
      <w:r w:rsidRPr="00B87EDE">
        <w:rPr>
          <w:rFonts w:ascii="Arial" w:hAnsi="Arial" w:cs="Arial"/>
        </w:rPr>
        <w:t>(c)</w:t>
      </w:r>
      <w:r w:rsidR="003121BB">
        <w:rPr>
          <w:rFonts w:ascii="Arial" w:hAnsi="Arial" w:cs="Arial"/>
        </w:rPr>
        <w:t xml:space="preserve"> y el </w:t>
      </w:r>
      <w:r w:rsidR="00360510">
        <w:rPr>
          <w:rFonts w:ascii="Arial" w:hAnsi="Arial" w:cs="Arial"/>
        </w:rPr>
        <w:t>artículo 23 de la Le</w:t>
      </w:r>
      <w:r w:rsidR="00181686">
        <w:rPr>
          <w:rFonts w:ascii="Arial" w:hAnsi="Arial" w:cs="Arial"/>
        </w:rPr>
        <w:t>y General de Salud en Materia de Investigación.</w:t>
      </w:r>
    </w:p>
    <w:p w:rsidR="005F4C12" w:rsidRPr="00B87EDE" w:rsidRDefault="005F4C12" w:rsidP="005F4C12">
      <w:pPr>
        <w:pStyle w:val="Sangradetextonormal"/>
        <w:ind w:left="0"/>
        <w:jc w:val="both"/>
        <w:rPr>
          <w:rFonts w:ascii="Arial" w:hAnsi="Arial" w:cs="Arial"/>
        </w:rPr>
      </w:pPr>
    </w:p>
    <w:p w:rsidR="005F4C12" w:rsidRPr="00B87EDE" w:rsidRDefault="005F4C12" w:rsidP="005F4C12">
      <w:pPr>
        <w:pStyle w:val="Sangradetextonormal"/>
        <w:ind w:left="0"/>
        <w:jc w:val="both"/>
        <w:rPr>
          <w:rFonts w:ascii="Arial" w:hAnsi="Arial" w:cs="Arial"/>
        </w:rPr>
      </w:pPr>
      <w:r w:rsidRPr="00B87EDE">
        <w:rPr>
          <w:rFonts w:ascii="Arial" w:hAnsi="Arial" w:cs="Arial"/>
          <w:b/>
          <w:bCs/>
        </w:rPr>
        <w:t xml:space="preserve">Alteración de </w:t>
      </w:r>
      <w:r w:rsidR="00360510">
        <w:rPr>
          <w:rFonts w:ascii="Arial" w:hAnsi="Arial" w:cs="Arial"/>
          <w:b/>
          <w:bCs/>
        </w:rPr>
        <w:t xml:space="preserve">los </w:t>
      </w:r>
      <w:r w:rsidRPr="00B87EDE">
        <w:rPr>
          <w:rFonts w:ascii="Arial" w:hAnsi="Arial" w:cs="Arial"/>
          <w:b/>
          <w:bCs/>
        </w:rPr>
        <w:t>Elementos del Consentimiento Informado</w:t>
      </w:r>
    </w:p>
    <w:p w:rsidR="005F4C12" w:rsidRPr="00B87EDE" w:rsidRDefault="005F4C12" w:rsidP="005F4C12">
      <w:pPr>
        <w:pStyle w:val="Sangradetextonormal"/>
        <w:spacing w:before="120"/>
        <w:ind w:left="0"/>
        <w:jc w:val="both"/>
        <w:rPr>
          <w:rFonts w:ascii="Arial" w:hAnsi="Arial" w:cs="Arial"/>
        </w:rPr>
      </w:pPr>
      <w:r w:rsidRPr="00B87EDE">
        <w:rPr>
          <w:rFonts w:ascii="Arial" w:hAnsi="Arial" w:cs="Arial"/>
        </w:rPr>
        <w:t xml:space="preserve">El </w:t>
      </w:r>
      <w:r w:rsidR="00CE36E0">
        <w:rPr>
          <w:rFonts w:ascii="Arial" w:hAnsi="Arial" w:cs="Arial"/>
        </w:rPr>
        <w:t>CEI</w:t>
      </w:r>
      <w:r w:rsidRPr="00B87EDE">
        <w:rPr>
          <w:rFonts w:ascii="Arial" w:hAnsi="Arial" w:cs="Arial"/>
        </w:rPr>
        <w:t xml:space="preserve"> puede aprobar un procedimiento de consentimiento que no incluya o que modifique</w:t>
      </w:r>
      <w:r w:rsidR="00360510">
        <w:rPr>
          <w:rFonts w:ascii="Arial" w:hAnsi="Arial" w:cs="Arial"/>
        </w:rPr>
        <w:t xml:space="preserve"> todos o </w:t>
      </w:r>
      <w:r w:rsidRPr="00B87EDE">
        <w:rPr>
          <w:rFonts w:ascii="Arial" w:hAnsi="Arial" w:cs="Arial"/>
        </w:rPr>
        <w:t xml:space="preserve">algunos </w:t>
      </w:r>
      <w:r w:rsidR="00360510">
        <w:rPr>
          <w:rFonts w:ascii="Arial" w:hAnsi="Arial" w:cs="Arial"/>
        </w:rPr>
        <w:t xml:space="preserve">de </w:t>
      </w:r>
      <w:r w:rsidRPr="00B87EDE">
        <w:rPr>
          <w:rFonts w:ascii="Arial" w:hAnsi="Arial" w:cs="Arial"/>
        </w:rPr>
        <w:t xml:space="preserve">los elementos del consentimiento informado (tales como </w:t>
      </w:r>
      <w:r w:rsidR="00EE0251">
        <w:rPr>
          <w:rFonts w:ascii="Arial" w:hAnsi="Arial" w:cs="Arial"/>
        </w:rPr>
        <w:t xml:space="preserve">la </w:t>
      </w:r>
      <w:r w:rsidRPr="00B87EDE">
        <w:rPr>
          <w:rFonts w:ascii="Arial" w:hAnsi="Arial" w:cs="Arial"/>
        </w:rPr>
        <w:t>documentación escri</w:t>
      </w:r>
      <w:r w:rsidR="00181686">
        <w:rPr>
          <w:rFonts w:ascii="Arial" w:hAnsi="Arial" w:cs="Arial"/>
        </w:rPr>
        <w:t>ta).  45 CFR 46.116</w:t>
      </w:r>
      <w:r w:rsidR="00360510">
        <w:rPr>
          <w:rFonts w:ascii="Arial" w:hAnsi="Arial" w:cs="Arial"/>
        </w:rPr>
        <w:t xml:space="preserve"> </w:t>
      </w:r>
      <w:r w:rsidR="00181686">
        <w:rPr>
          <w:rFonts w:ascii="Arial" w:hAnsi="Arial" w:cs="Arial"/>
        </w:rPr>
        <w:t>(c) y 117(c).</w:t>
      </w:r>
    </w:p>
    <w:p w:rsidR="005F4C12" w:rsidRPr="00B87EDE" w:rsidRDefault="005F4C12" w:rsidP="005F4C12">
      <w:pPr>
        <w:pStyle w:val="Ttulo2"/>
        <w:jc w:val="both"/>
        <w:rPr>
          <w:rFonts w:ascii="Arial" w:hAnsi="Arial" w:cs="Arial"/>
          <w:color w:val="auto"/>
          <w:sz w:val="24"/>
          <w:szCs w:val="24"/>
        </w:rPr>
      </w:pPr>
      <w:r w:rsidRPr="00B87EDE">
        <w:rPr>
          <w:rFonts w:ascii="Arial" w:hAnsi="Arial" w:cs="Arial"/>
          <w:color w:val="auto"/>
          <w:sz w:val="24"/>
          <w:szCs w:val="24"/>
        </w:rPr>
        <w:t>Políticas Específicas</w:t>
      </w:r>
    </w:p>
    <w:p w:rsidR="005F4C12" w:rsidRPr="00B87EDE" w:rsidRDefault="005F4C12" w:rsidP="005F4C12">
      <w:pPr>
        <w:pStyle w:val="Ttulo2"/>
        <w:jc w:val="both"/>
        <w:rPr>
          <w:rFonts w:ascii="Arial" w:hAnsi="Arial" w:cs="Arial"/>
          <w:color w:val="auto"/>
          <w:sz w:val="24"/>
          <w:szCs w:val="24"/>
        </w:rPr>
      </w:pPr>
      <w:r w:rsidRPr="00B87EDE">
        <w:rPr>
          <w:rFonts w:ascii="Arial" w:hAnsi="Arial" w:cs="Arial"/>
          <w:color w:val="auto"/>
          <w:sz w:val="24"/>
          <w:szCs w:val="24"/>
        </w:rPr>
        <w:t xml:space="preserve">1. </w:t>
      </w:r>
      <w:r w:rsidR="00360510">
        <w:rPr>
          <w:rFonts w:ascii="Arial" w:hAnsi="Arial" w:cs="Arial"/>
          <w:color w:val="auto"/>
          <w:sz w:val="24"/>
          <w:szCs w:val="24"/>
        </w:rPr>
        <w:t xml:space="preserve">Exención </w:t>
      </w:r>
      <w:r w:rsidRPr="00B87EDE">
        <w:rPr>
          <w:rFonts w:ascii="Arial" w:hAnsi="Arial" w:cs="Arial"/>
          <w:color w:val="auto"/>
          <w:sz w:val="24"/>
          <w:szCs w:val="24"/>
        </w:rPr>
        <w:t>del consentimiento informado</w:t>
      </w:r>
    </w:p>
    <w:p w:rsidR="005F4C12" w:rsidRPr="00B87EDE" w:rsidRDefault="005F4C12" w:rsidP="005F4C12">
      <w:pPr>
        <w:ind w:left="1309" w:hanging="561"/>
        <w:jc w:val="both"/>
        <w:rPr>
          <w:rFonts w:ascii="Arial" w:hAnsi="Arial" w:cs="Arial"/>
        </w:rPr>
      </w:pPr>
      <w:r w:rsidRPr="00B87EDE">
        <w:rPr>
          <w:rFonts w:ascii="Arial" w:hAnsi="Arial" w:cs="Arial"/>
        </w:rPr>
        <w:t xml:space="preserve">1.1 El </w:t>
      </w:r>
      <w:r w:rsidR="00CE36E0">
        <w:rPr>
          <w:rFonts w:ascii="Arial" w:hAnsi="Arial" w:cs="Arial"/>
        </w:rPr>
        <w:t>CEI</w:t>
      </w:r>
      <w:r w:rsidR="00360510" w:rsidRPr="00B87EDE">
        <w:rPr>
          <w:rFonts w:ascii="Arial" w:hAnsi="Arial" w:cs="Arial"/>
        </w:rPr>
        <w:t xml:space="preserve"> </w:t>
      </w:r>
      <w:r w:rsidRPr="00B87EDE">
        <w:rPr>
          <w:rFonts w:ascii="Arial" w:hAnsi="Arial" w:cs="Arial"/>
        </w:rPr>
        <w:t>requ</w:t>
      </w:r>
      <w:r w:rsidR="00360510">
        <w:rPr>
          <w:rFonts w:ascii="Arial" w:hAnsi="Arial" w:cs="Arial"/>
        </w:rPr>
        <w:t>iere</w:t>
      </w:r>
      <w:r w:rsidRPr="00B87EDE">
        <w:rPr>
          <w:rFonts w:ascii="Arial" w:hAnsi="Arial" w:cs="Arial"/>
        </w:rPr>
        <w:t xml:space="preserve"> que el consentimiento informado sea obtenido y documentado antes del comienzo de los procedimientos del estudio</w:t>
      </w:r>
      <w:r w:rsidR="004B2D5B">
        <w:rPr>
          <w:rFonts w:ascii="Arial" w:hAnsi="Arial" w:cs="Arial"/>
        </w:rPr>
        <w:t>,</w:t>
      </w:r>
      <w:r w:rsidRPr="00B87EDE">
        <w:rPr>
          <w:rFonts w:ascii="Arial" w:hAnsi="Arial" w:cs="Arial"/>
        </w:rPr>
        <w:t xml:space="preserve"> excepto en las siguientes situaciones de emergencia:</w:t>
      </w:r>
    </w:p>
    <w:p w:rsidR="005F4C12" w:rsidRPr="00B87EDE" w:rsidRDefault="005F4C12" w:rsidP="005F4C12">
      <w:pPr>
        <w:pStyle w:val="level2bodystyle"/>
        <w:ind w:left="2057" w:hanging="748"/>
        <w:jc w:val="both"/>
        <w:rPr>
          <w:sz w:val="24"/>
          <w:szCs w:val="24"/>
          <w:lang w:val="es-ES"/>
        </w:rPr>
      </w:pPr>
      <w:r w:rsidRPr="00B87EDE">
        <w:rPr>
          <w:sz w:val="24"/>
          <w:szCs w:val="24"/>
          <w:lang w:val="es-ES"/>
        </w:rPr>
        <w:t xml:space="preserve">1.1.1 Revisión prospectiva de la investigación en escenarios de emergencia </w:t>
      </w:r>
    </w:p>
    <w:p w:rsidR="005F4C12" w:rsidRPr="00B87EDE" w:rsidRDefault="005F4C12" w:rsidP="005F4C12">
      <w:pPr>
        <w:pStyle w:val="level2bodystyle"/>
        <w:ind w:left="2057"/>
        <w:jc w:val="both"/>
        <w:rPr>
          <w:sz w:val="24"/>
          <w:szCs w:val="24"/>
          <w:lang w:val="es-ES"/>
        </w:rPr>
      </w:pPr>
      <w:r w:rsidRPr="00B87EDE">
        <w:rPr>
          <w:sz w:val="24"/>
          <w:szCs w:val="24"/>
          <w:lang w:val="es-ES"/>
        </w:rPr>
        <w:lastRenderedPageBreak/>
        <w:t>La obtención del consentimiento informado será juzgada factible</w:t>
      </w:r>
      <w:r w:rsidR="00360510">
        <w:rPr>
          <w:sz w:val="24"/>
          <w:szCs w:val="24"/>
          <w:lang w:val="es-ES"/>
        </w:rPr>
        <w:t>,</w:t>
      </w:r>
      <w:r w:rsidRPr="00B87EDE">
        <w:rPr>
          <w:sz w:val="24"/>
          <w:szCs w:val="24"/>
          <w:lang w:val="es-ES"/>
        </w:rPr>
        <w:t xml:space="preserve"> exceptuando ciertas situaciones de emergencia donde el investigador ha documentado adecuadamente la excepción  </w:t>
      </w:r>
      <w:r w:rsidR="004B2D5B">
        <w:rPr>
          <w:sz w:val="24"/>
          <w:szCs w:val="24"/>
          <w:lang w:val="es-ES"/>
        </w:rPr>
        <w:t xml:space="preserve">del consentimiento </w:t>
      </w:r>
      <w:r w:rsidRPr="00B87EDE">
        <w:rPr>
          <w:sz w:val="24"/>
          <w:szCs w:val="24"/>
          <w:lang w:val="es-ES"/>
        </w:rPr>
        <w:t xml:space="preserve">bajo los lineamientos descritos en </w:t>
      </w:r>
      <w:r w:rsidR="00360510">
        <w:rPr>
          <w:sz w:val="24"/>
          <w:szCs w:val="24"/>
          <w:lang w:val="es-ES"/>
        </w:rPr>
        <w:t xml:space="preserve">el SOP </w:t>
      </w:r>
      <w:r w:rsidRPr="00B87EDE">
        <w:rPr>
          <w:sz w:val="24"/>
          <w:szCs w:val="24"/>
          <w:lang w:val="es-ES"/>
        </w:rPr>
        <w:t>SC 502</w:t>
      </w:r>
      <w:r w:rsidR="00C87FFE">
        <w:rPr>
          <w:sz w:val="24"/>
          <w:szCs w:val="24"/>
          <w:lang w:val="es-ES"/>
        </w:rPr>
        <w:t>.</w:t>
      </w:r>
    </w:p>
    <w:p w:rsidR="005F4C12" w:rsidRPr="00B87EDE" w:rsidRDefault="005F4C12" w:rsidP="005F4C12">
      <w:pPr>
        <w:pStyle w:val="Remitedesobre"/>
        <w:spacing w:after="120"/>
        <w:ind w:left="2057" w:hanging="748"/>
        <w:jc w:val="both"/>
        <w:rPr>
          <w:sz w:val="24"/>
          <w:szCs w:val="24"/>
          <w:lang w:val="es-ES"/>
        </w:rPr>
      </w:pPr>
      <w:r w:rsidRPr="00B87EDE">
        <w:rPr>
          <w:sz w:val="24"/>
          <w:szCs w:val="24"/>
          <w:lang w:val="es-ES"/>
        </w:rPr>
        <w:t xml:space="preserve">1.1.2 Revisión retrospectiva del uso </w:t>
      </w:r>
      <w:r w:rsidR="00360510" w:rsidRPr="00B87EDE">
        <w:rPr>
          <w:sz w:val="24"/>
          <w:szCs w:val="24"/>
          <w:lang w:val="es-ES"/>
        </w:rPr>
        <w:t xml:space="preserve">de un </w:t>
      </w:r>
      <w:r w:rsidR="00360510">
        <w:rPr>
          <w:sz w:val="24"/>
          <w:szCs w:val="24"/>
          <w:lang w:val="es-ES"/>
        </w:rPr>
        <w:t xml:space="preserve">dispositivo durante una </w:t>
      </w:r>
      <w:r w:rsidRPr="00B87EDE">
        <w:rPr>
          <w:sz w:val="24"/>
          <w:szCs w:val="24"/>
          <w:lang w:val="es-ES"/>
        </w:rPr>
        <w:t xml:space="preserve">emergencia </w:t>
      </w:r>
    </w:p>
    <w:p w:rsidR="005F4C12" w:rsidRPr="00B87EDE" w:rsidRDefault="005F4C12" w:rsidP="005F4C12">
      <w:pPr>
        <w:pStyle w:val="Remitedesobre"/>
        <w:ind w:left="2057"/>
        <w:jc w:val="both"/>
        <w:rPr>
          <w:sz w:val="24"/>
          <w:szCs w:val="24"/>
          <w:lang w:val="es-ES"/>
        </w:rPr>
      </w:pPr>
      <w:r w:rsidRPr="00B87EDE">
        <w:rPr>
          <w:sz w:val="24"/>
          <w:szCs w:val="24"/>
          <w:lang w:val="es-ES"/>
        </w:rPr>
        <w:t>La obtención del consentimiento informado será juzgada factible</w:t>
      </w:r>
      <w:r w:rsidR="00360510">
        <w:rPr>
          <w:sz w:val="24"/>
          <w:szCs w:val="24"/>
          <w:lang w:val="es-ES"/>
        </w:rPr>
        <w:t>,</w:t>
      </w:r>
      <w:r w:rsidRPr="00B87EDE">
        <w:rPr>
          <w:sz w:val="24"/>
          <w:szCs w:val="24"/>
          <w:lang w:val="es-ES"/>
        </w:rPr>
        <w:t xml:space="preserve"> exceptuando ciertas situaciones de emergencia donde el investigador ha documentado adecuadamente la excepción necesaria</w:t>
      </w:r>
      <w:r w:rsidR="004B2D5B" w:rsidRPr="004B2D5B">
        <w:rPr>
          <w:sz w:val="24"/>
          <w:szCs w:val="24"/>
          <w:lang w:val="es-ES"/>
        </w:rPr>
        <w:t xml:space="preserve"> </w:t>
      </w:r>
      <w:r w:rsidR="004B2D5B">
        <w:rPr>
          <w:sz w:val="24"/>
          <w:szCs w:val="24"/>
          <w:lang w:val="es-ES"/>
        </w:rPr>
        <w:t>del consentimiento</w:t>
      </w:r>
      <w:r w:rsidRPr="00B87EDE">
        <w:rPr>
          <w:sz w:val="24"/>
          <w:szCs w:val="24"/>
          <w:lang w:val="es-ES"/>
        </w:rPr>
        <w:t xml:space="preserve"> bajo los lineamientos descritos en </w:t>
      </w:r>
      <w:r w:rsidR="00360510">
        <w:rPr>
          <w:sz w:val="24"/>
          <w:szCs w:val="24"/>
          <w:lang w:val="es-ES"/>
        </w:rPr>
        <w:t xml:space="preserve">el SOP </w:t>
      </w:r>
      <w:r w:rsidRPr="00B87EDE">
        <w:rPr>
          <w:sz w:val="24"/>
          <w:szCs w:val="24"/>
          <w:lang w:val="es-ES"/>
        </w:rPr>
        <w:t>SC 502</w:t>
      </w:r>
      <w:r w:rsidR="00855698">
        <w:rPr>
          <w:sz w:val="24"/>
          <w:szCs w:val="24"/>
          <w:lang w:val="es-ES"/>
        </w:rPr>
        <w:t>.</w:t>
      </w:r>
    </w:p>
    <w:p w:rsidR="005F4C12" w:rsidRPr="00B87EDE" w:rsidRDefault="005F4C12" w:rsidP="005F4C12">
      <w:pPr>
        <w:jc w:val="both"/>
        <w:rPr>
          <w:rFonts w:ascii="Arial" w:hAnsi="Arial" w:cs="Arial"/>
        </w:rPr>
      </w:pPr>
    </w:p>
    <w:p w:rsidR="005F4C12" w:rsidRPr="00B87EDE" w:rsidRDefault="005F4C12" w:rsidP="005F4C12">
      <w:pPr>
        <w:pStyle w:val="level2bodystyle"/>
        <w:ind w:left="1309" w:hanging="561"/>
        <w:jc w:val="both"/>
        <w:rPr>
          <w:sz w:val="24"/>
          <w:szCs w:val="24"/>
          <w:lang w:val="es-ES"/>
        </w:rPr>
      </w:pPr>
      <w:r w:rsidRPr="00B87EDE">
        <w:rPr>
          <w:sz w:val="24"/>
          <w:szCs w:val="24"/>
          <w:lang w:val="es-ES"/>
        </w:rPr>
        <w:t xml:space="preserve">1.2 En otra investigación, el </w:t>
      </w:r>
      <w:r w:rsidR="00CE36E0">
        <w:rPr>
          <w:sz w:val="24"/>
          <w:szCs w:val="24"/>
          <w:lang w:val="es-ES"/>
        </w:rPr>
        <w:t>CEI</w:t>
      </w:r>
      <w:r w:rsidRPr="00B87EDE">
        <w:rPr>
          <w:sz w:val="24"/>
          <w:szCs w:val="24"/>
          <w:lang w:val="es-ES"/>
        </w:rPr>
        <w:t xml:space="preserve"> puede </w:t>
      </w:r>
      <w:r w:rsidR="00360510">
        <w:rPr>
          <w:sz w:val="24"/>
          <w:szCs w:val="24"/>
          <w:lang w:val="es-ES"/>
        </w:rPr>
        <w:t>exentar</w:t>
      </w:r>
      <w:r w:rsidRPr="00B87EDE">
        <w:rPr>
          <w:sz w:val="24"/>
          <w:szCs w:val="24"/>
          <w:lang w:val="es-ES"/>
        </w:rPr>
        <w:t xml:space="preserve"> el requisito </w:t>
      </w:r>
      <w:r w:rsidR="008E61DA">
        <w:rPr>
          <w:sz w:val="24"/>
          <w:szCs w:val="24"/>
          <w:lang w:val="es-ES"/>
        </w:rPr>
        <w:t xml:space="preserve">de </w:t>
      </w:r>
      <w:r w:rsidRPr="00B87EDE">
        <w:rPr>
          <w:sz w:val="24"/>
          <w:szCs w:val="24"/>
          <w:lang w:val="es-ES"/>
        </w:rPr>
        <w:t>obtener el consentimiento informado</w:t>
      </w:r>
      <w:r w:rsidR="008E61DA">
        <w:rPr>
          <w:sz w:val="24"/>
          <w:szCs w:val="24"/>
          <w:lang w:val="es-ES"/>
        </w:rPr>
        <w:t xml:space="preserve">, si el </w:t>
      </w:r>
      <w:r w:rsidR="00CE36E0">
        <w:rPr>
          <w:sz w:val="24"/>
          <w:szCs w:val="24"/>
          <w:lang w:val="es-ES"/>
        </w:rPr>
        <w:t>CEI</w:t>
      </w:r>
      <w:r w:rsidRPr="00B87EDE">
        <w:rPr>
          <w:sz w:val="24"/>
          <w:szCs w:val="24"/>
          <w:lang w:val="es-ES"/>
        </w:rPr>
        <w:t xml:space="preserve">  encuentra y documenta </w:t>
      </w:r>
      <w:r w:rsidR="008E61DA">
        <w:rPr>
          <w:sz w:val="24"/>
          <w:szCs w:val="24"/>
          <w:lang w:val="es-ES"/>
        </w:rPr>
        <w:t>que</w:t>
      </w:r>
      <w:r w:rsidRPr="00B87EDE">
        <w:rPr>
          <w:sz w:val="24"/>
          <w:szCs w:val="24"/>
          <w:lang w:val="es-ES"/>
        </w:rPr>
        <w:t xml:space="preserve">: </w:t>
      </w:r>
    </w:p>
    <w:p w:rsidR="005F4C12" w:rsidRPr="00B87EDE" w:rsidRDefault="005F4C12" w:rsidP="005F4C12">
      <w:pPr>
        <w:pStyle w:val="List-Level3"/>
        <w:ind w:left="2057" w:hanging="748"/>
        <w:jc w:val="both"/>
        <w:rPr>
          <w:szCs w:val="24"/>
          <w:lang w:val="es-ES"/>
        </w:rPr>
      </w:pPr>
      <w:r w:rsidRPr="00B87EDE">
        <w:rPr>
          <w:szCs w:val="24"/>
          <w:lang w:val="es-ES"/>
        </w:rPr>
        <w:t>1.2.1 El proyecto de investigación o de demostración</w:t>
      </w:r>
      <w:r w:rsidR="004B2D5B">
        <w:rPr>
          <w:szCs w:val="24"/>
          <w:lang w:val="es-ES"/>
        </w:rPr>
        <w:t>,</w:t>
      </w:r>
      <w:r w:rsidRPr="00B87EDE">
        <w:rPr>
          <w:szCs w:val="24"/>
          <w:lang w:val="es-ES"/>
        </w:rPr>
        <w:t xml:space="preserve"> debe ser conducido a través o conforme a la aprobación de los oficiales del gobierno del estado o local</w:t>
      </w:r>
      <w:r w:rsidR="004B2D5B">
        <w:rPr>
          <w:szCs w:val="24"/>
          <w:lang w:val="es-ES"/>
        </w:rPr>
        <w:t>;</w:t>
      </w:r>
      <w:r w:rsidRPr="00B87EDE">
        <w:rPr>
          <w:szCs w:val="24"/>
          <w:lang w:val="es-ES"/>
        </w:rPr>
        <w:t xml:space="preserve"> y se diseña para estudiar, evaluar </w:t>
      </w:r>
      <w:r w:rsidR="004B2D5B">
        <w:rPr>
          <w:szCs w:val="24"/>
          <w:lang w:val="es-ES"/>
        </w:rPr>
        <w:t xml:space="preserve">o, por </w:t>
      </w:r>
      <w:r w:rsidRPr="00B87EDE">
        <w:rPr>
          <w:szCs w:val="24"/>
          <w:lang w:val="es-ES"/>
        </w:rPr>
        <w:t>otro lado</w:t>
      </w:r>
      <w:r w:rsidR="004B2D5B">
        <w:rPr>
          <w:szCs w:val="24"/>
          <w:lang w:val="es-ES"/>
        </w:rPr>
        <w:t>,</w:t>
      </w:r>
      <w:r w:rsidRPr="00B87EDE">
        <w:rPr>
          <w:szCs w:val="24"/>
          <w:lang w:val="es-ES"/>
        </w:rPr>
        <w:t xml:space="preserve"> examinar: </w:t>
      </w:r>
    </w:p>
    <w:p w:rsidR="005F4C12" w:rsidRPr="00B87EDE" w:rsidRDefault="005F4C12" w:rsidP="005F4C12">
      <w:pPr>
        <w:pStyle w:val="List-level4"/>
        <w:tabs>
          <w:tab w:val="clear" w:pos="720"/>
          <w:tab w:val="left" w:pos="2244"/>
        </w:tabs>
        <w:ind w:left="2244" w:hanging="187"/>
        <w:jc w:val="both"/>
        <w:rPr>
          <w:szCs w:val="24"/>
          <w:lang w:val="es-ES"/>
        </w:rPr>
      </w:pPr>
      <w:r w:rsidRPr="00B87EDE">
        <w:rPr>
          <w:szCs w:val="24"/>
          <w:lang w:val="es-ES"/>
        </w:rPr>
        <w:t xml:space="preserve">Beneficios públicos o programas de servicio; </w:t>
      </w:r>
    </w:p>
    <w:p w:rsidR="005F4C12" w:rsidRPr="00B87EDE" w:rsidRDefault="005F4C12" w:rsidP="005F4C12">
      <w:pPr>
        <w:pStyle w:val="List-level4"/>
        <w:tabs>
          <w:tab w:val="clear" w:pos="720"/>
          <w:tab w:val="left" w:pos="2244"/>
        </w:tabs>
        <w:ind w:left="2244" w:hanging="187"/>
        <w:jc w:val="both"/>
        <w:rPr>
          <w:szCs w:val="24"/>
          <w:lang w:val="es-ES"/>
        </w:rPr>
      </w:pPr>
      <w:r w:rsidRPr="00B87EDE">
        <w:rPr>
          <w:szCs w:val="24"/>
          <w:lang w:val="es-ES"/>
        </w:rPr>
        <w:t>Procedimientos para obtener beneficios o servicios bajo esos programas;</w:t>
      </w:r>
    </w:p>
    <w:p w:rsidR="005F4C12" w:rsidRPr="00B87EDE" w:rsidRDefault="005F4C12" w:rsidP="005F4C12">
      <w:pPr>
        <w:pStyle w:val="List-level4"/>
        <w:tabs>
          <w:tab w:val="clear" w:pos="720"/>
          <w:tab w:val="left" w:pos="2244"/>
        </w:tabs>
        <w:ind w:left="2244" w:hanging="187"/>
        <w:jc w:val="both"/>
        <w:rPr>
          <w:szCs w:val="24"/>
          <w:lang w:val="es-ES"/>
        </w:rPr>
      </w:pPr>
      <w:r w:rsidRPr="00B87EDE">
        <w:rPr>
          <w:szCs w:val="24"/>
          <w:lang w:val="es-ES"/>
        </w:rPr>
        <w:t>Posibles cambios o alternativas a esos programas o procedimientos</w:t>
      </w:r>
      <w:r w:rsidR="008E61DA">
        <w:rPr>
          <w:szCs w:val="24"/>
          <w:lang w:val="es-ES"/>
        </w:rPr>
        <w:t>,</w:t>
      </w:r>
      <w:r w:rsidRPr="00B87EDE">
        <w:rPr>
          <w:szCs w:val="24"/>
          <w:lang w:val="es-ES"/>
        </w:rPr>
        <w:t xml:space="preserve"> o posibles cambios en </w:t>
      </w:r>
      <w:r w:rsidR="008E61DA">
        <w:rPr>
          <w:szCs w:val="24"/>
          <w:lang w:val="es-ES"/>
        </w:rPr>
        <w:t xml:space="preserve">los </w:t>
      </w:r>
      <w:r w:rsidRPr="00B87EDE">
        <w:rPr>
          <w:szCs w:val="24"/>
          <w:lang w:val="es-ES"/>
        </w:rPr>
        <w:t xml:space="preserve">niveles o métodos de pago para beneficios o servicios bajo esos programas; y  </w:t>
      </w:r>
    </w:p>
    <w:p w:rsidR="005F4C12" w:rsidRPr="00B87EDE" w:rsidRDefault="005F4C12" w:rsidP="005F4C12">
      <w:pPr>
        <w:pStyle w:val="List-Level3"/>
        <w:tabs>
          <w:tab w:val="left" w:pos="2244"/>
        </w:tabs>
        <w:ind w:left="2244" w:hanging="187"/>
        <w:jc w:val="both"/>
        <w:rPr>
          <w:szCs w:val="24"/>
          <w:lang w:val="es-ES"/>
        </w:rPr>
      </w:pPr>
      <w:r w:rsidRPr="00B87EDE">
        <w:rPr>
          <w:szCs w:val="24"/>
          <w:lang w:val="es-ES"/>
        </w:rPr>
        <w:t xml:space="preserve">La investigación no podría </w:t>
      </w:r>
      <w:r w:rsidR="008E61DA" w:rsidRPr="00B87EDE">
        <w:rPr>
          <w:szCs w:val="24"/>
          <w:lang w:val="es-ES"/>
        </w:rPr>
        <w:t xml:space="preserve">ser llevada a cabo </w:t>
      </w:r>
      <w:r w:rsidR="008E61DA">
        <w:rPr>
          <w:szCs w:val="24"/>
          <w:lang w:val="es-ES"/>
        </w:rPr>
        <w:t xml:space="preserve">de manera </w:t>
      </w:r>
      <w:r w:rsidRPr="00B87EDE">
        <w:rPr>
          <w:szCs w:val="24"/>
          <w:lang w:val="es-ES"/>
        </w:rPr>
        <w:t xml:space="preserve">factible sin la </w:t>
      </w:r>
      <w:r w:rsidR="008E61DA">
        <w:rPr>
          <w:szCs w:val="24"/>
          <w:lang w:val="es-ES"/>
        </w:rPr>
        <w:t xml:space="preserve">exención o </w:t>
      </w:r>
      <w:r w:rsidRPr="00B87EDE">
        <w:rPr>
          <w:szCs w:val="24"/>
          <w:lang w:val="es-ES"/>
        </w:rPr>
        <w:t>alteración</w:t>
      </w:r>
      <w:r w:rsidR="008E61DA">
        <w:rPr>
          <w:szCs w:val="24"/>
          <w:lang w:val="es-ES"/>
        </w:rPr>
        <w:t xml:space="preserve"> del consentimiento</w:t>
      </w:r>
      <w:r w:rsidRPr="00B87EDE">
        <w:rPr>
          <w:szCs w:val="24"/>
          <w:lang w:val="es-ES"/>
        </w:rPr>
        <w:t xml:space="preserve">.  </w:t>
      </w:r>
    </w:p>
    <w:p w:rsidR="005F4C12" w:rsidRPr="00B87EDE" w:rsidRDefault="005F4C12" w:rsidP="005F4C12">
      <w:pPr>
        <w:pStyle w:val="3rdlevel"/>
        <w:ind w:left="1309" w:firstLine="0"/>
        <w:jc w:val="both"/>
        <w:rPr>
          <w:sz w:val="24"/>
          <w:szCs w:val="24"/>
          <w:lang w:val="es-ES"/>
        </w:rPr>
      </w:pPr>
      <w:r w:rsidRPr="00B87EDE">
        <w:rPr>
          <w:sz w:val="24"/>
          <w:szCs w:val="24"/>
          <w:lang w:val="es-ES"/>
        </w:rPr>
        <w:t xml:space="preserve"> 1.2.2 La investigación involucra no más que el riesgo mínimo </w:t>
      </w:r>
      <w:r w:rsidR="004B2D5B">
        <w:rPr>
          <w:sz w:val="24"/>
          <w:szCs w:val="24"/>
          <w:lang w:val="es-ES"/>
        </w:rPr>
        <w:t>par</w:t>
      </w:r>
      <w:r w:rsidRPr="00B87EDE">
        <w:rPr>
          <w:sz w:val="24"/>
          <w:szCs w:val="24"/>
          <w:lang w:val="es-ES"/>
        </w:rPr>
        <w:t>a los sujetos</w:t>
      </w:r>
      <w:r w:rsidR="004B2D5B">
        <w:rPr>
          <w:sz w:val="24"/>
          <w:szCs w:val="24"/>
          <w:lang w:val="es-ES"/>
        </w:rPr>
        <w:t>,</w:t>
      </w:r>
      <w:r w:rsidRPr="00B87EDE">
        <w:rPr>
          <w:sz w:val="24"/>
          <w:szCs w:val="24"/>
          <w:lang w:val="es-ES"/>
        </w:rPr>
        <w:t xml:space="preserve"> de acuerdo al Artículo 23</w:t>
      </w:r>
      <w:r w:rsidR="008E61DA">
        <w:rPr>
          <w:sz w:val="24"/>
          <w:szCs w:val="24"/>
          <w:lang w:val="es-ES"/>
        </w:rPr>
        <w:t xml:space="preserve"> de la Ley General de Salud en M</w:t>
      </w:r>
      <w:r w:rsidRPr="00B87EDE">
        <w:rPr>
          <w:sz w:val="24"/>
          <w:szCs w:val="24"/>
          <w:lang w:val="es-ES"/>
        </w:rPr>
        <w:t xml:space="preserve">ateria de Investigación;  </w:t>
      </w:r>
    </w:p>
    <w:p w:rsidR="005F4C12" w:rsidRPr="00B87EDE" w:rsidRDefault="005F4C12" w:rsidP="005F4C12">
      <w:pPr>
        <w:pStyle w:val="3rdlevel"/>
        <w:ind w:left="2057" w:firstLine="0"/>
        <w:jc w:val="both"/>
        <w:rPr>
          <w:sz w:val="24"/>
          <w:szCs w:val="24"/>
          <w:lang w:val="es-ES"/>
        </w:rPr>
      </w:pPr>
      <w:r w:rsidRPr="00B87EDE">
        <w:rPr>
          <w:sz w:val="24"/>
          <w:szCs w:val="24"/>
          <w:lang w:val="es-ES"/>
        </w:rPr>
        <w:t xml:space="preserve">La </w:t>
      </w:r>
      <w:r w:rsidR="008E61DA">
        <w:rPr>
          <w:sz w:val="24"/>
          <w:szCs w:val="24"/>
          <w:lang w:val="es-ES"/>
        </w:rPr>
        <w:t xml:space="preserve">exención </w:t>
      </w:r>
      <w:r w:rsidR="00F2495B">
        <w:rPr>
          <w:sz w:val="24"/>
          <w:szCs w:val="24"/>
          <w:lang w:val="es-ES"/>
        </w:rPr>
        <w:t xml:space="preserve">del consentimiento informado </w:t>
      </w:r>
      <w:r w:rsidR="008E61DA">
        <w:rPr>
          <w:sz w:val="24"/>
          <w:szCs w:val="24"/>
          <w:lang w:val="es-ES"/>
        </w:rPr>
        <w:t xml:space="preserve">no </w:t>
      </w:r>
      <w:r w:rsidRPr="00B87EDE">
        <w:rPr>
          <w:sz w:val="24"/>
          <w:szCs w:val="24"/>
          <w:lang w:val="es-ES"/>
        </w:rPr>
        <w:t xml:space="preserve">afectará de forma adversa los derechos y bienestar de los sujetos;  </w:t>
      </w:r>
    </w:p>
    <w:p w:rsidR="005F4C12" w:rsidRPr="00B87EDE" w:rsidRDefault="005F4C12" w:rsidP="005F4C12">
      <w:pPr>
        <w:pStyle w:val="3rdlevel"/>
        <w:ind w:left="2057" w:firstLine="0"/>
        <w:jc w:val="both"/>
        <w:rPr>
          <w:sz w:val="24"/>
          <w:szCs w:val="24"/>
          <w:lang w:val="es-ES"/>
        </w:rPr>
      </w:pPr>
      <w:r w:rsidRPr="00B87EDE">
        <w:rPr>
          <w:sz w:val="24"/>
          <w:szCs w:val="24"/>
          <w:lang w:val="es-ES"/>
        </w:rPr>
        <w:t xml:space="preserve">La investigación no podría </w:t>
      </w:r>
      <w:r w:rsidR="00F2495B">
        <w:rPr>
          <w:sz w:val="24"/>
          <w:szCs w:val="24"/>
          <w:lang w:val="es-ES"/>
        </w:rPr>
        <w:t xml:space="preserve">ser llevada a cabo de manera factible </w:t>
      </w:r>
      <w:r w:rsidRPr="00B87EDE">
        <w:rPr>
          <w:sz w:val="24"/>
          <w:szCs w:val="24"/>
          <w:lang w:val="es-ES"/>
        </w:rPr>
        <w:t xml:space="preserve">sin </w:t>
      </w:r>
      <w:r w:rsidR="00F2495B">
        <w:rPr>
          <w:sz w:val="24"/>
          <w:szCs w:val="24"/>
          <w:lang w:val="es-ES"/>
        </w:rPr>
        <w:t>la exención</w:t>
      </w:r>
      <w:r w:rsidRPr="00B87EDE">
        <w:rPr>
          <w:sz w:val="24"/>
          <w:szCs w:val="24"/>
          <w:lang w:val="es-ES"/>
        </w:rPr>
        <w:t xml:space="preserve">; y  </w:t>
      </w:r>
    </w:p>
    <w:p w:rsidR="005F4C12" w:rsidRPr="00B87EDE" w:rsidRDefault="005F4C12" w:rsidP="005F4C12">
      <w:pPr>
        <w:pStyle w:val="3rdlevel"/>
        <w:ind w:left="2057" w:firstLine="0"/>
        <w:jc w:val="both"/>
        <w:rPr>
          <w:sz w:val="24"/>
          <w:szCs w:val="24"/>
          <w:lang w:val="es-ES"/>
        </w:rPr>
      </w:pPr>
      <w:r w:rsidRPr="00B87EDE">
        <w:rPr>
          <w:sz w:val="24"/>
          <w:szCs w:val="24"/>
          <w:lang w:val="es-ES"/>
        </w:rPr>
        <w:t xml:space="preserve">Siempre que sea apropiado, a los sujetos se les proporcionará la información adicional pertinente después de la participación.  </w:t>
      </w:r>
    </w:p>
    <w:p w:rsidR="00137D71" w:rsidRPr="00B87EDE" w:rsidRDefault="00137D71" w:rsidP="00570481">
      <w:pPr>
        <w:pStyle w:val="3rdlevel"/>
        <w:ind w:left="0" w:firstLine="0"/>
        <w:jc w:val="both"/>
        <w:rPr>
          <w:sz w:val="24"/>
          <w:szCs w:val="24"/>
          <w:lang w:val="es-ES"/>
        </w:rPr>
      </w:pPr>
    </w:p>
    <w:p w:rsidR="005F4C12" w:rsidRPr="00B87EDE" w:rsidRDefault="005F4C12" w:rsidP="00570481">
      <w:pPr>
        <w:pStyle w:val="Textodebloque"/>
        <w:ind w:left="0" w:firstLine="0"/>
        <w:jc w:val="both"/>
        <w:rPr>
          <w:sz w:val="24"/>
          <w:szCs w:val="24"/>
          <w:lang w:val="es-ES"/>
        </w:rPr>
      </w:pPr>
      <w:r w:rsidRPr="00B87EDE">
        <w:rPr>
          <w:b/>
          <w:bCs w:val="0"/>
          <w:sz w:val="24"/>
          <w:szCs w:val="24"/>
          <w:lang w:val="es-ES"/>
        </w:rPr>
        <w:lastRenderedPageBreak/>
        <w:t xml:space="preserve">2.  Alteración o </w:t>
      </w:r>
      <w:r w:rsidR="008A3972">
        <w:rPr>
          <w:b/>
          <w:bCs w:val="0"/>
          <w:sz w:val="24"/>
          <w:szCs w:val="24"/>
          <w:lang w:val="es-ES"/>
        </w:rPr>
        <w:t>exención</w:t>
      </w:r>
      <w:r w:rsidRPr="00B87EDE">
        <w:rPr>
          <w:b/>
          <w:bCs w:val="0"/>
          <w:sz w:val="24"/>
          <w:szCs w:val="24"/>
          <w:lang w:val="es-ES"/>
        </w:rPr>
        <w:t xml:space="preserve"> de </w:t>
      </w:r>
      <w:r w:rsidRPr="008A3972">
        <w:rPr>
          <w:b/>
          <w:bCs w:val="0"/>
          <w:sz w:val="24"/>
          <w:szCs w:val="24"/>
          <w:lang w:val="es-ES"/>
        </w:rPr>
        <w:t>u</w:t>
      </w:r>
      <w:r w:rsidRPr="00B87EDE">
        <w:rPr>
          <w:b/>
          <w:bCs w:val="0"/>
          <w:sz w:val="24"/>
          <w:szCs w:val="24"/>
          <w:lang w:val="es-ES"/>
        </w:rPr>
        <w:t xml:space="preserve">no o más </w:t>
      </w:r>
      <w:r w:rsidR="00F2495B">
        <w:rPr>
          <w:b/>
          <w:bCs w:val="0"/>
          <w:sz w:val="24"/>
          <w:szCs w:val="24"/>
          <w:lang w:val="es-ES"/>
        </w:rPr>
        <w:t xml:space="preserve">de los </w:t>
      </w:r>
      <w:r w:rsidRPr="00B87EDE">
        <w:rPr>
          <w:b/>
          <w:bCs w:val="0"/>
          <w:sz w:val="24"/>
          <w:szCs w:val="24"/>
          <w:lang w:val="es-ES"/>
        </w:rPr>
        <w:t>elementos del consentimiento informado</w:t>
      </w:r>
    </w:p>
    <w:p w:rsidR="005F4C12" w:rsidRPr="00B87EDE" w:rsidRDefault="005F4C12" w:rsidP="005F4C12">
      <w:pPr>
        <w:pStyle w:val="Textodebloque"/>
        <w:ind w:left="1122" w:hanging="374"/>
        <w:jc w:val="both"/>
        <w:rPr>
          <w:sz w:val="24"/>
          <w:szCs w:val="24"/>
          <w:lang w:val="es-ES"/>
        </w:rPr>
      </w:pPr>
      <w:r w:rsidRPr="00B87EDE">
        <w:rPr>
          <w:sz w:val="24"/>
          <w:szCs w:val="24"/>
          <w:lang w:val="es-ES"/>
        </w:rPr>
        <w:t xml:space="preserve">2.1 El </w:t>
      </w:r>
      <w:r w:rsidR="00CE36E0">
        <w:rPr>
          <w:sz w:val="24"/>
          <w:szCs w:val="24"/>
          <w:lang w:val="es-ES"/>
        </w:rPr>
        <w:t>CEI</w:t>
      </w:r>
      <w:r w:rsidRPr="00B87EDE">
        <w:rPr>
          <w:sz w:val="24"/>
          <w:szCs w:val="24"/>
          <w:lang w:val="es-ES"/>
        </w:rPr>
        <w:t xml:space="preserve"> puede aprobar un procedimiento del consentimiento que no incluye, o que altera, algunos o todos los elementos del consentimiento informado descritos en el </w:t>
      </w:r>
      <w:r w:rsidR="00F2495B">
        <w:rPr>
          <w:sz w:val="24"/>
          <w:szCs w:val="24"/>
          <w:lang w:val="es-ES"/>
        </w:rPr>
        <w:t xml:space="preserve">SOP </w:t>
      </w:r>
      <w:r w:rsidRPr="00B87EDE">
        <w:rPr>
          <w:sz w:val="24"/>
          <w:szCs w:val="24"/>
          <w:lang w:val="es-ES"/>
        </w:rPr>
        <w:t>IC 701</w:t>
      </w:r>
      <w:r w:rsidR="00F2495B">
        <w:rPr>
          <w:sz w:val="24"/>
          <w:szCs w:val="24"/>
          <w:lang w:val="es-ES"/>
        </w:rPr>
        <w:t xml:space="preserve"> </w:t>
      </w:r>
      <w:r w:rsidRPr="00B87EDE">
        <w:rPr>
          <w:sz w:val="24"/>
          <w:szCs w:val="24"/>
          <w:lang w:val="es-ES"/>
        </w:rPr>
        <w:t>de la siguiente manera.</w:t>
      </w:r>
    </w:p>
    <w:p w:rsidR="005F4C12" w:rsidRPr="00B87EDE" w:rsidRDefault="005F4C12" w:rsidP="005F4C12">
      <w:pPr>
        <w:pStyle w:val="List-Level3"/>
        <w:ind w:left="2057" w:hanging="748"/>
        <w:jc w:val="both"/>
        <w:rPr>
          <w:szCs w:val="24"/>
          <w:lang w:val="es-ES"/>
        </w:rPr>
      </w:pPr>
      <w:r w:rsidRPr="00B87EDE">
        <w:rPr>
          <w:szCs w:val="24"/>
          <w:lang w:val="es-ES"/>
        </w:rPr>
        <w:t>2.1.1 El proyecto de investigación o de demostración debe ser conducido a través o conforme a la aprobación de los oficiales del gobierno del estado o local</w:t>
      </w:r>
      <w:r w:rsidR="00F2495B">
        <w:rPr>
          <w:szCs w:val="24"/>
          <w:lang w:val="es-ES"/>
        </w:rPr>
        <w:t>,</w:t>
      </w:r>
      <w:r w:rsidRPr="00B87EDE">
        <w:rPr>
          <w:szCs w:val="24"/>
          <w:lang w:val="es-ES"/>
        </w:rPr>
        <w:t xml:space="preserve"> y </w:t>
      </w:r>
      <w:r w:rsidR="00CE36E0">
        <w:rPr>
          <w:szCs w:val="24"/>
          <w:lang w:val="es-ES"/>
        </w:rPr>
        <w:t>está</w:t>
      </w:r>
      <w:r w:rsidR="00F2495B">
        <w:rPr>
          <w:szCs w:val="24"/>
          <w:lang w:val="es-ES"/>
        </w:rPr>
        <w:t xml:space="preserve"> diseñado </w:t>
      </w:r>
      <w:r w:rsidRPr="00B87EDE">
        <w:rPr>
          <w:szCs w:val="24"/>
          <w:lang w:val="es-ES"/>
        </w:rPr>
        <w:t>para estudiar, evaluar o</w:t>
      </w:r>
      <w:r w:rsidR="00F2495B">
        <w:rPr>
          <w:szCs w:val="24"/>
          <w:lang w:val="es-ES"/>
        </w:rPr>
        <w:t>,</w:t>
      </w:r>
      <w:r w:rsidRPr="00B87EDE">
        <w:rPr>
          <w:szCs w:val="24"/>
          <w:lang w:val="es-ES"/>
        </w:rPr>
        <w:t xml:space="preserve"> por otro lado</w:t>
      </w:r>
      <w:r w:rsidR="00F2495B">
        <w:rPr>
          <w:szCs w:val="24"/>
          <w:lang w:val="es-ES"/>
        </w:rPr>
        <w:t>,</w:t>
      </w:r>
      <w:r w:rsidRPr="00B87EDE">
        <w:rPr>
          <w:szCs w:val="24"/>
          <w:lang w:val="es-ES"/>
        </w:rPr>
        <w:t xml:space="preserve"> examinar: </w:t>
      </w:r>
    </w:p>
    <w:p w:rsidR="005F4C12" w:rsidRPr="00B87EDE" w:rsidRDefault="005F4C12" w:rsidP="005F4C12">
      <w:pPr>
        <w:pStyle w:val="List-level4"/>
        <w:tabs>
          <w:tab w:val="clear" w:pos="720"/>
          <w:tab w:val="left" w:pos="2244"/>
        </w:tabs>
        <w:ind w:left="2244" w:hanging="187"/>
        <w:jc w:val="both"/>
        <w:rPr>
          <w:szCs w:val="24"/>
          <w:lang w:val="es-ES"/>
        </w:rPr>
      </w:pPr>
      <w:r w:rsidRPr="00B87EDE">
        <w:rPr>
          <w:szCs w:val="24"/>
          <w:lang w:val="es-ES"/>
        </w:rPr>
        <w:t xml:space="preserve">Beneficios públicos o programas de servicio; </w:t>
      </w:r>
    </w:p>
    <w:p w:rsidR="005F4C12" w:rsidRPr="00B87EDE" w:rsidRDefault="005F4C12" w:rsidP="005F4C12">
      <w:pPr>
        <w:pStyle w:val="List-level4"/>
        <w:tabs>
          <w:tab w:val="clear" w:pos="720"/>
          <w:tab w:val="left" w:pos="2244"/>
        </w:tabs>
        <w:ind w:left="2244" w:hanging="187"/>
        <w:jc w:val="both"/>
        <w:rPr>
          <w:szCs w:val="24"/>
          <w:lang w:val="es-ES"/>
        </w:rPr>
      </w:pPr>
      <w:r w:rsidRPr="00B87EDE">
        <w:rPr>
          <w:szCs w:val="24"/>
          <w:lang w:val="es-ES"/>
        </w:rPr>
        <w:t>Procedimientos para obtener beneficios o servicios bajo esos programas;</w:t>
      </w:r>
    </w:p>
    <w:p w:rsidR="005F4C12" w:rsidRPr="00B87EDE" w:rsidRDefault="005F4C12" w:rsidP="005F4C12">
      <w:pPr>
        <w:pStyle w:val="List-level4"/>
        <w:tabs>
          <w:tab w:val="clear" w:pos="720"/>
          <w:tab w:val="left" w:pos="2244"/>
        </w:tabs>
        <w:ind w:left="2244" w:hanging="187"/>
        <w:jc w:val="both"/>
        <w:rPr>
          <w:szCs w:val="24"/>
          <w:lang w:val="es-ES"/>
        </w:rPr>
      </w:pPr>
      <w:r w:rsidRPr="00B87EDE">
        <w:rPr>
          <w:szCs w:val="24"/>
          <w:lang w:val="es-ES"/>
        </w:rPr>
        <w:t>Posibles cambios o alternativas a esos programas o procedimientos</w:t>
      </w:r>
      <w:r w:rsidR="00F2495B">
        <w:rPr>
          <w:szCs w:val="24"/>
          <w:lang w:val="es-ES"/>
        </w:rPr>
        <w:t>,</w:t>
      </w:r>
      <w:r w:rsidRPr="00B87EDE">
        <w:rPr>
          <w:szCs w:val="24"/>
          <w:lang w:val="es-ES"/>
        </w:rPr>
        <w:t xml:space="preserve"> o posibles cambios en niveles o métodos de pago para beneficios o servicios bajo esos programas; y  </w:t>
      </w:r>
    </w:p>
    <w:p w:rsidR="005F4C12" w:rsidRPr="00B87EDE" w:rsidRDefault="005F4C12" w:rsidP="005F4C12">
      <w:pPr>
        <w:pStyle w:val="List-Level3"/>
        <w:tabs>
          <w:tab w:val="left" w:pos="2244"/>
        </w:tabs>
        <w:ind w:left="2244" w:hanging="187"/>
        <w:jc w:val="both"/>
        <w:rPr>
          <w:szCs w:val="24"/>
          <w:lang w:val="es-ES"/>
        </w:rPr>
      </w:pPr>
      <w:r w:rsidRPr="00B87EDE">
        <w:rPr>
          <w:szCs w:val="24"/>
          <w:lang w:val="es-ES"/>
        </w:rPr>
        <w:t xml:space="preserve">La investigación no podría ser llevada a cabo </w:t>
      </w:r>
      <w:r w:rsidR="00F2495B">
        <w:rPr>
          <w:szCs w:val="24"/>
          <w:lang w:val="es-ES"/>
        </w:rPr>
        <w:t xml:space="preserve">de manera </w:t>
      </w:r>
      <w:r w:rsidR="00F2495B" w:rsidRPr="00B87EDE">
        <w:rPr>
          <w:szCs w:val="24"/>
          <w:lang w:val="es-ES"/>
        </w:rPr>
        <w:t xml:space="preserve">factible </w:t>
      </w:r>
      <w:r w:rsidRPr="00B87EDE">
        <w:rPr>
          <w:szCs w:val="24"/>
          <w:lang w:val="es-ES"/>
        </w:rPr>
        <w:t xml:space="preserve">sin la </w:t>
      </w:r>
      <w:r w:rsidR="00F2495B">
        <w:rPr>
          <w:szCs w:val="24"/>
          <w:lang w:val="es-ES"/>
        </w:rPr>
        <w:t xml:space="preserve">exención </w:t>
      </w:r>
      <w:r w:rsidRPr="00B87EDE">
        <w:rPr>
          <w:szCs w:val="24"/>
          <w:lang w:val="es-ES"/>
        </w:rPr>
        <w:t xml:space="preserve">o alteración.  </w:t>
      </w:r>
    </w:p>
    <w:p w:rsidR="005F4C12" w:rsidRPr="00B87EDE" w:rsidRDefault="005F4C12" w:rsidP="005F4C12">
      <w:pPr>
        <w:pStyle w:val="3rdlevel"/>
        <w:ind w:left="1309" w:firstLine="0"/>
        <w:jc w:val="both"/>
        <w:rPr>
          <w:sz w:val="24"/>
          <w:szCs w:val="24"/>
          <w:lang w:val="es-ES"/>
        </w:rPr>
      </w:pPr>
      <w:r w:rsidRPr="00B87EDE">
        <w:rPr>
          <w:sz w:val="24"/>
          <w:szCs w:val="24"/>
          <w:lang w:val="es-ES"/>
        </w:rPr>
        <w:t xml:space="preserve">2.1.2 La investigación involucra no más que el riesgo mínimo </w:t>
      </w:r>
      <w:r w:rsidR="008A3972">
        <w:rPr>
          <w:sz w:val="24"/>
          <w:szCs w:val="24"/>
          <w:lang w:val="es-ES"/>
        </w:rPr>
        <w:t>par</w:t>
      </w:r>
      <w:r w:rsidRPr="00B87EDE">
        <w:rPr>
          <w:sz w:val="24"/>
          <w:szCs w:val="24"/>
          <w:lang w:val="es-ES"/>
        </w:rPr>
        <w:t xml:space="preserve">a los sujetos;  </w:t>
      </w:r>
    </w:p>
    <w:p w:rsidR="005F4C12" w:rsidRPr="00B87EDE" w:rsidRDefault="005F4C12" w:rsidP="005F4C12">
      <w:pPr>
        <w:pStyle w:val="3rdlevel"/>
        <w:ind w:left="2057" w:firstLine="0"/>
        <w:jc w:val="both"/>
        <w:rPr>
          <w:sz w:val="24"/>
          <w:szCs w:val="24"/>
          <w:lang w:val="es-ES"/>
        </w:rPr>
      </w:pPr>
      <w:r w:rsidRPr="00B87EDE">
        <w:rPr>
          <w:sz w:val="24"/>
          <w:szCs w:val="24"/>
          <w:lang w:val="es-ES"/>
        </w:rPr>
        <w:t xml:space="preserve">La </w:t>
      </w:r>
      <w:r w:rsidR="00F2495B">
        <w:rPr>
          <w:sz w:val="24"/>
          <w:szCs w:val="24"/>
          <w:lang w:val="es-ES"/>
        </w:rPr>
        <w:t xml:space="preserve">exención del consentimiento </w:t>
      </w:r>
      <w:r w:rsidRPr="00B87EDE">
        <w:rPr>
          <w:sz w:val="24"/>
          <w:szCs w:val="24"/>
          <w:lang w:val="es-ES"/>
        </w:rPr>
        <w:t xml:space="preserve">no afectará de forma adversa los derechos y bienestar de los sujetos;  </w:t>
      </w:r>
    </w:p>
    <w:p w:rsidR="005F4C12" w:rsidRPr="00B87EDE" w:rsidRDefault="005F4C12" w:rsidP="005F4C12">
      <w:pPr>
        <w:pStyle w:val="3rdlevel"/>
        <w:ind w:left="2057" w:firstLine="0"/>
        <w:jc w:val="both"/>
        <w:rPr>
          <w:sz w:val="24"/>
          <w:szCs w:val="24"/>
          <w:lang w:val="es-ES"/>
        </w:rPr>
      </w:pPr>
      <w:r w:rsidRPr="00B87EDE">
        <w:rPr>
          <w:sz w:val="24"/>
          <w:szCs w:val="24"/>
          <w:lang w:val="es-ES"/>
        </w:rPr>
        <w:t xml:space="preserve">La investigación no podría llevarse a cabo </w:t>
      </w:r>
      <w:r w:rsidR="00F2495B">
        <w:rPr>
          <w:sz w:val="24"/>
          <w:szCs w:val="24"/>
          <w:lang w:val="es-ES"/>
        </w:rPr>
        <w:t xml:space="preserve">de manera </w:t>
      </w:r>
      <w:r w:rsidR="00F2495B" w:rsidRPr="00B87EDE">
        <w:rPr>
          <w:sz w:val="24"/>
          <w:szCs w:val="24"/>
          <w:lang w:val="es-ES"/>
        </w:rPr>
        <w:t>factible</w:t>
      </w:r>
      <w:r w:rsidR="00F2495B">
        <w:rPr>
          <w:sz w:val="24"/>
          <w:szCs w:val="24"/>
          <w:lang w:val="es-ES"/>
        </w:rPr>
        <w:t xml:space="preserve"> </w:t>
      </w:r>
      <w:r w:rsidRPr="00B87EDE">
        <w:rPr>
          <w:sz w:val="24"/>
          <w:szCs w:val="24"/>
          <w:lang w:val="es-ES"/>
        </w:rPr>
        <w:t xml:space="preserve">sin </w:t>
      </w:r>
      <w:r w:rsidR="00F2495B">
        <w:rPr>
          <w:sz w:val="24"/>
          <w:szCs w:val="24"/>
          <w:lang w:val="es-ES"/>
        </w:rPr>
        <w:t>la exención</w:t>
      </w:r>
      <w:r w:rsidRPr="00B87EDE">
        <w:rPr>
          <w:sz w:val="24"/>
          <w:szCs w:val="24"/>
          <w:lang w:val="es-ES"/>
        </w:rPr>
        <w:t xml:space="preserve">; y  </w:t>
      </w:r>
    </w:p>
    <w:p w:rsidR="005F4C12" w:rsidRPr="00B87EDE" w:rsidRDefault="005F4C12" w:rsidP="005F4C12">
      <w:pPr>
        <w:pStyle w:val="3rdlevel"/>
        <w:ind w:left="2057" w:firstLine="0"/>
        <w:jc w:val="both"/>
        <w:rPr>
          <w:sz w:val="24"/>
          <w:szCs w:val="24"/>
          <w:lang w:val="es-ES"/>
        </w:rPr>
      </w:pPr>
      <w:r w:rsidRPr="00B87EDE">
        <w:rPr>
          <w:sz w:val="24"/>
          <w:szCs w:val="24"/>
          <w:lang w:val="es-ES"/>
        </w:rPr>
        <w:t xml:space="preserve">Siempre que sea apropiado, a los sujetos se les proporcionará la información adicional pertinente después de la participación.  </w:t>
      </w:r>
    </w:p>
    <w:p w:rsidR="005F4C12" w:rsidRPr="00B87EDE" w:rsidRDefault="005F4C12" w:rsidP="00137D71">
      <w:pPr>
        <w:pStyle w:val="3rdlevel"/>
        <w:jc w:val="both"/>
        <w:rPr>
          <w:sz w:val="24"/>
          <w:szCs w:val="24"/>
          <w:lang w:val="es-ES"/>
        </w:rPr>
      </w:pPr>
    </w:p>
    <w:p w:rsidR="005F4C12" w:rsidRPr="00B87EDE" w:rsidRDefault="005F4C12" w:rsidP="005F4C12">
      <w:pPr>
        <w:pStyle w:val="3rdlevel"/>
        <w:ind w:left="0" w:firstLine="0"/>
        <w:jc w:val="both"/>
        <w:rPr>
          <w:sz w:val="24"/>
          <w:szCs w:val="24"/>
          <w:lang w:val="es-ES"/>
        </w:rPr>
      </w:pPr>
    </w:p>
    <w:p w:rsidR="005F4C12" w:rsidRPr="00B87EDE" w:rsidRDefault="005F4C12" w:rsidP="005F4C12">
      <w:pPr>
        <w:pStyle w:val="3rdlevel"/>
        <w:ind w:left="1309" w:hanging="561"/>
        <w:jc w:val="both"/>
        <w:rPr>
          <w:sz w:val="24"/>
          <w:szCs w:val="24"/>
          <w:lang w:val="es-ES"/>
        </w:rPr>
      </w:pPr>
      <w:r w:rsidRPr="00B87EDE">
        <w:rPr>
          <w:b/>
          <w:bCs w:val="0"/>
          <w:sz w:val="24"/>
          <w:szCs w:val="24"/>
          <w:lang w:val="es-ES"/>
        </w:rPr>
        <w:t xml:space="preserve">B. </w:t>
      </w:r>
      <w:r w:rsidR="00F2495B">
        <w:rPr>
          <w:b/>
          <w:bCs w:val="0"/>
          <w:sz w:val="24"/>
          <w:szCs w:val="24"/>
          <w:lang w:val="es-ES"/>
        </w:rPr>
        <w:t>EXENCIÓN</w:t>
      </w:r>
      <w:r w:rsidRPr="00B87EDE">
        <w:rPr>
          <w:b/>
          <w:bCs w:val="0"/>
          <w:sz w:val="24"/>
          <w:szCs w:val="24"/>
          <w:lang w:val="es-ES"/>
        </w:rPr>
        <w:t xml:space="preserve"> DE LA DOCUMENTACIÓN DEL CONSENTIMIENTO INFORMADO</w:t>
      </w:r>
    </w:p>
    <w:p w:rsidR="005F4C12" w:rsidRPr="00B87EDE" w:rsidRDefault="005F4C12" w:rsidP="005F4C12">
      <w:pPr>
        <w:pStyle w:val="3rdlevel"/>
        <w:ind w:left="1309" w:firstLine="0"/>
        <w:jc w:val="both"/>
        <w:rPr>
          <w:sz w:val="24"/>
          <w:szCs w:val="24"/>
          <w:lang w:val="es-ES"/>
        </w:rPr>
      </w:pPr>
      <w:r w:rsidRPr="00B87EDE">
        <w:rPr>
          <w:sz w:val="24"/>
          <w:szCs w:val="24"/>
          <w:lang w:val="es-ES"/>
        </w:rPr>
        <w:t xml:space="preserve">3.1 El </w:t>
      </w:r>
      <w:r w:rsidR="00CE36E0">
        <w:rPr>
          <w:sz w:val="24"/>
          <w:szCs w:val="24"/>
          <w:lang w:val="es-ES"/>
        </w:rPr>
        <w:t>CEI</w:t>
      </w:r>
      <w:r w:rsidRPr="00B87EDE">
        <w:rPr>
          <w:sz w:val="24"/>
          <w:szCs w:val="24"/>
          <w:lang w:val="es-ES"/>
        </w:rPr>
        <w:t xml:space="preserve"> puede </w:t>
      </w:r>
      <w:r w:rsidR="00F2495B">
        <w:rPr>
          <w:sz w:val="24"/>
          <w:szCs w:val="24"/>
          <w:lang w:val="es-ES"/>
        </w:rPr>
        <w:t>exent</w:t>
      </w:r>
      <w:r w:rsidRPr="00B87EDE">
        <w:rPr>
          <w:sz w:val="24"/>
          <w:szCs w:val="24"/>
          <w:lang w:val="es-ES"/>
        </w:rPr>
        <w:t>ar la documentación del consentimiento informado de alguno</w:t>
      </w:r>
      <w:r w:rsidR="008A3972">
        <w:rPr>
          <w:sz w:val="24"/>
          <w:szCs w:val="24"/>
          <w:lang w:val="es-ES"/>
        </w:rPr>
        <w:t>s</w:t>
      </w:r>
      <w:r w:rsidRPr="00B87EDE">
        <w:rPr>
          <w:sz w:val="24"/>
          <w:szCs w:val="24"/>
          <w:lang w:val="es-ES"/>
        </w:rPr>
        <w:t xml:space="preserve"> o de todos los sujetos de la siguiente manera:</w:t>
      </w:r>
    </w:p>
    <w:p w:rsidR="005F4C12" w:rsidRPr="00B87EDE" w:rsidRDefault="005F4C12" w:rsidP="005F4C12">
      <w:pPr>
        <w:pStyle w:val="List-Level2"/>
        <w:ind w:left="1309" w:firstLine="0"/>
        <w:jc w:val="both"/>
        <w:rPr>
          <w:sz w:val="24"/>
          <w:szCs w:val="24"/>
          <w:lang w:val="es-ES"/>
        </w:rPr>
      </w:pPr>
      <w:r w:rsidRPr="00B87EDE">
        <w:rPr>
          <w:sz w:val="24"/>
          <w:szCs w:val="24"/>
          <w:lang w:val="es-ES"/>
        </w:rPr>
        <w:t xml:space="preserve">El protocolo demuestra que el único </w:t>
      </w:r>
      <w:r w:rsidR="00F2495B">
        <w:rPr>
          <w:sz w:val="24"/>
          <w:szCs w:val="24"/>
          <w:lang w:val="es-ES"/>
        </w:rPr>
        <w:t xml:space="preserve">registro </w:t>
      </w:r>
      <w:r w:rsidRPr="00B87EDE">
        <w:rPr>
          <w:sz w:val="24"/>
          <w:szCs w:val="24"/>
          <w:lang w:val="es-ES"/>
        </w:rPr>
        <w:t xml:space="preserve">que liga </w:t>
      </w:r>
      <w:r w:rsidR="00F2495B">
        <w:rPr>
          <w:sz w:val="24"/>
          <w:szCs w:val="24"/>
          <w:lang w:val="es-ES"/>
        </w:rPr>
        <w:t>a</w:t>
      </w:r>
      <w:r w:rsidRPr="00B87EDE">
        <w:rPr>
          <w:sz w:val="24"/>
          <w:szCs w:val="24"/>
          <w:lang w:val="es-ES"/>
        </w:rPr>
        <w:t>l sujeto</w:t>
      </w:r>
      <w:r w:rsidR="00F2495B">
        <w:rPr>
          <w:sz w:val="24"/>
          <w:szCs w:val="24"/>
          <w:lang w:val="es-ES"/>
        </w:rPr>
        <w:t xml:space="preserve"> y</w:t>
      </w:r>
      <w:r w:rsidRPr="00B87EDE">
        <w:rPr>
          <w:sz w:val="24"/>
          <w:szCs w:val="24"/>
          <w:lang w:val="es-ES"/>
        </w:rPr>
        <w:t xml:space="preserve"> a la investigación sería el documento del consentimiento y el principal riesgo sería </w:t>
      </w:r>
      <w:r w:rsidR="00F2495B">
        <w:rPr>
          <w:sz w:val="24"/>
          <w:szCs w:val="24"/>
          <w:lang w:val="es-ES"/>
        </w:rPr>
        <w:t xml:space="preserve">el </w:t>
      </w:r>
      <w:r w:rsidRPr="00B87EDE">
        <w:rPr>
          <w:sz w:val="24"/>
          <w:szCs w:val="24"/>
          <w:lang w:val="es-ES"/>
        </w:rPr>
        <w:t>daño potencial</w:t>
      </w:r>
      <w:r w:rsidR="00F2495B">
        <w:rPr>
          <w:sz w:val="24"/>
          <w:szCs w:val="24"/>
          <w:lang w:val="es-ES"/>
        </w:rPr>
        <w:t xml:space="preserve"> que </w:t>
      </w:r>
      <w:r w:rsidRPr="00B87EDE">
        <w:rPr>
          <w:sz w:val="24"/>
          <w:szCs w:val="24"/>
          <w:lang w:val="es-ES"/>
        </w:rPr>
        <w:t>result</w:t>
      </w:r>
      <w:r w:rsidR="00F2495B">
        <w:rPr>
          <w:sz w:val="24"/>
          <w:szCs w:val="24"/>
          <w:lang w:val="es-ES"/>
        </w:rPr>
        <w:t>e</w:t>
      </w:r>
      <w:r w:rsidRPr="00B87EDE">
        <w:rPr>
          <w:sz w:val="24"/>
          <w:szCs w:val="24"/>
          <w:lang w:val="es-ES"/>
        </w:rPr>
        <w:t xml:space="preserve"> de una </w:t>
      </w:r>
      <w:r w:rsidR="00F2495B">
        <w:rPr>
          <w:sz w:val="24"/>
          <w:szCs w:val="24"/>
          <w:lang w:val="es-ES"/>
        </w:rPr>
        <w:t>violación a la confidencialidad.</w:t>
      </w:r>
    </w:p>
    <w:p w:rsidR="005F4C12" w:rsidRPr="00B87EDE" w:rsidRDefault="005F4C12" w:rsidP="005F4C12">
      <w:pPr>
        <w:tabs>
          <w:tab w:val="left" w:pos="2640"/>
        </w:tabs>
        <w:rPr>
          <w:rFonts w:ascii="Arial" w:hAnsi="Arial" w:cs="Arial"/>
        </w:rPr>
      </w:pPr>
      <w:r w:rsidRPr="00B87EDE">
        <w:rPr>
          <w:rFonts w:ascii="Arial" w:hAnsi="Arial" w:cs="Arial"/>
        </w:rPr>
        <w:tab/>
      </w:r>
    </w:p>
    <w:p w:rsidR="005F4C12" w:rsidRPr="00B87EDE" w:rsidRDefault="005F4C12" w:rsidP="005F4C12">
      <w:pPr>
        <w:pStyle w:val="List-Level2"/>
        <w:tabs>
          <w:tab w:val="left" w:pos="1309"/>
        </w:tabs>
        <w:ind w:left="1309" w:firstLine="0"/>
        <w:jc w:val="both"/>
        <w:rPr>
          <w:sz w:val="24"/>
          <w:szCs w:val="24"/>
          <w:lang w:val="es-ES"/>
        </w:rPr>
      </w:pPr>
      <w:r w:rsidRPr="00B87EDE">
        <w:rPr>
          <w:sz w:val="24"/>
          <w:szCs w:val="24"/>
          <w:u w:val="single"/>
          <w:lang w:val="es-ES"/>
        </w:rPr>
        <w:t>Nota</w:t>
      </w:r>
      <w:r w:rsidRPr="00B87EDE">
        <w:rPr>
          <w:sz w:val="24"/>
          <w:szCs w:val="24"/>
          <w:lang w:val="es-ES"/>
        </w:rPr>
        <w:t xml:space="preserve">: Cuando el </w:t>
      </w:r>
      <w:r w:rsidR="00CE36E0">
        <w:rPr>
          <w:sz w:val="24"/>
          <w:szCs w:val="24"/>
          <w:lang w:val="es-ES"/>
        </w:rPr>
        <w:t>CEI</w:t>
      </w:r>
      <w:r w:rsidRPr="00B87EDE">
        <w:rPr>
          <w:sz w:val="24"/>
          <w:szCs w:val="24"/>
          <w:lang w:val="es-ES"/>
        </w:rPr>
        <w:t xml:space="preserve"> </w:t>
      </w:r>
      <w:r w:rsidR="00F2495B">
        <w:rPr>
          <w:sz w:val="24"/>
          <w:szCs w:val="24"/>
          <w:lang w:val="es-ES"/>
        </w:rPr>
        <w:t xml:space="preserve">exenta </w:t>
      </w:r>
      <w:r w:rsidRPr="00B87EDE">
        <w:rPr>
          <w:sz w:val="24"/>
          <w:szCs w:val="24"/>
          <w:lang w:val="es-ES"/>
        </w:rPr>
        <w:t xml:space="preserve">el requisito para la documentación bajo </w:t>
      </w:r>
      <w:r w:rsidRPr="00B87EDE">
        <w:rPr>
          <w:sz w:val="24"/>
          <w:szCs w:val="24"/>
          <w:lang w:val="es-ES"/>
        </w:rPr>
        <w:lastRenderedPageBreak/>
        <w:t>esta condición, se le debe p</w:t>
      </w:r>
      <w:r w:rsidR="00F2495B">
        <w:rPr>
          <w:sz w:val="24"/>
          <w:szCs w:val="24"/>
          <w:lang w:val="es-ES"/>
        </w:rPr>
        <w:t xml:space="preserve">reguntar a cada sujeto si desea mantener </w:t>
      </w:r>
      <w:r w:rsidRPr="00B87EDE">
        <w:rPr>
          <w:sz w:val="24"/>
          <w:szCs w:val="24"/>
          <w:lang w:val="es-ES"/>
        </w:rPr>
        <w:t>la documentación que lo liga a la investigación, y los deseos del sujeto gobernarán.</w:t>
      </w:r>
    </w:p>
    <w:p w:rsidR="005F4C12" w:rsidRPr="00B87EDE" w:rsidRDefault="005F4C12" w:rsidP="005F4C12">
      <w:pPr>
        <w:pStyle w:val="List-Level2"/>
        <w:jc w:val="both"/>
        <w:rPr>
          <w:sz w:val="24"/>
          <w:szCs w:val="24"/>
          <w:lang w:val="es-ES"/>
        </w:rPr>
      </w:pPr>
    </w:p>
    <w:p w:rsidR="005F4C12" w:rsidRPr="00B87EDE" w:rsidRDefault="00F2495B" w:rsidP="005F4C12">
      <w:pPr>
        <w:pStyle w:val="List-Level2"/>
        <w:ind w:left="1309" w:firstLine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</w:t>
      </w:r>
      <w:r w:rsidR="005F4C12" w:rsidRPr="00B87EDE">
        <w:rPr>
          <w:sz w:val="24"/>
          <w:szCs w:val="24"/>
          <w:lang w:val="es-ES"/>
        </w:rPr>
        <w:t>a investigación present</w:t>
      </w:r>
      <w:r>
        <w:rPr>
          <w:sz w:val="24"/>
          <w:szCs w:val="24"/>
          <w:lang w:val="es-ES"/>
        </w:rPr>
        <w:t>a</w:t>
      </w:r>
      <w:r w:rsidR="005F4C12" w:rsidRPr="00B87EDE">
        <w:rPr>
          <w:sz w:val="24"/>
          <w:szCs w:val="24"/>
          <w:lang w:val="es-ES"/>
        </w:rPr>
        <w:t xml:space="preserve"> no más que el riesgo mínimo de daño a los sujetos y no involucr</w:t>
      </w:r>
      <w:r>
        <w:rPr>
          <w:sz w:val="24"/>
          <w:szCs w:val="24"/>
          <w:lang w:val="es-ES"/>
        </w:rPr>
        <w:t>a</w:t>
      </w:r>
      <w:r w:rsidR="005F4C12" w:rsidRPr="00B87EDE">
        <w:rPr>
          <w:sz w:val="24"/>
          <w:szCs w:val="24"/>
          <w:lang w:val="es-ES"/>
        </w:rPr>
        <w:t xml:space="preserve"> ningún procedimiento para </w:t>
      </w:r>
      <w:r>
        <w:rPr>
          <w:sz w:val="24"/>
          <w:szCs w:val="24"/>
          <w:lang w:val="es-ES"/>
        </w:rPr>
        <w:t xml:space="preserve">el cual </w:t>
      </w:r>
      <w:r w:rsidR="005F4C12" w:rsidRPr="00B87EDE">
        <w:rPr>
          <w:sz w:val="24"/>
          <w:szCs w:val="24"/>
          <w:lang w:val="es-ES"/>
        </w:rPr>
        <w:t>el consentimiento escrito sea requerido normalmente fuera del contexto de la investigación.</w:t>
      </w:r>
    </w:p>
    <w:p w:rsidR="005F4C12" w:rsidRDefault="005F4C12" w:rsidP="005F4C12">
      <w:pPr>
        <w:autoSpaceDE w:val="0"/>
        <w:autoSpaceDN w:val="0"/>
        <w:adjustRightInd w:val="0"/>
        <w:spacing w:after="240"/>
        <w:ind w:left="1309"/>
        <w:jc w:val="both"/>
        <w:rPr>
          <w:rFonts w:ascii="Arial" w:hAnsi="Arial" w:cs="Arial"/>
        </w:rPr>
      </w:pPr>
      <w:r w:rsidRPr="00B87EDE">
        <w:rPr>
          <w:rFonts w:ascii="Arial" w:hAnsi="Arial" w:cs="Arial"/>
        </w:rPr>
        <w:t xml:space="preserve">En los casos en los cuales </w:t>
      </w:r>
      <w:r w:rsidR="00E20FE0" w:rsidRPr="00B87EDE">
        <w:rPr>
          <w:rFonts w:ascii="Arial" w:hAnsi="Arial" w:cs="Arial"/>
        </w:rPr>
        <w:t xml:space="preserve">se </w:t>
      </w:r>
      <w:r w:rsidR="00E20FE0">
        <w:rPr>
          <w:rFonts w:ascii="Arial" w:hAnsi="Arial" w:cs="Arial"/>
        </w:rPr>
        <w:t xml:space="preserve">exente el requisito de </w:t>
      </w:r>
      <w:r w:rsidRPr="00B87EDE">
        <w:rPr>
          <w:rFonts w:ascii="Arial" w:hAnsi="Arial" w:cs="Arial"/>
        </w:rPr>
        <w:t xml:space="preserve">documentación, el </w:t>
      </w:r>
      <w:r w:rsidR="00CE36E0">
        <w:rPr>
          <w:rFonts w:ascii="Arial" w:hAnsi="Arial" w:cs="Arial"/>
        </w:rPr>
        <w:t>CEI</w:t>
      </w:r>
      <w:r w:rsidRPr="00B87EDE">
        <w:rPr>
          <w:rFonts w:ascii="Arial" w:hAnsi="Arial" w:cs="Arial"/>
        </w:rPr>
        <w:t xml:space="preserve"> puede pedir al investigador que proporcione a los sujetos una declaración escrita con respeto a la investigación.</w:t>
      </w:r>
    </w:p>
    <w:p w:rsidR="00855698" w:rsidRDefault="00855698" w:rsidP="005F4C12">
      <w:pPr>
        <w:autoSpaceDE w:val="0"/>
        <w:autoSpaceDN w:val="0"/>
        <w:adjustRightInd w:val="0"/>
        <w:spacing w:after="240"/>
        <w:ind w:left="1309"/>
        <w:jc w:val="both"/>
        <w:rPr>
          <w:rFonts w:ascii="Arial" w:hAnsi="Arial" w:cs="Arial"/>
        </w:rPr>
      </w:pPr>
    </w:p>
    <w:p w:rsidR="00E20FE0" w:rsidRDefault="00855698" w:rsidP="00E20FE0">
      <w:pPr>
        <w:autoSpaceDE w:val="0"/>
        <w:autoSpaceDN w:val="0"/>
        <w:adjustRightInd w:val="0"/>
        <w:spacing w:after="240"/>
        <w:ind w:left="1309" w:hanging="6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E20FE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DOCUMENTACI</w:t>
      </w:r>
      <w:r w:rsidR="008A3972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 xml:space="preserve">N DEL PROCESO DE </w:t>
      </w:r>
      <w:r w:rsidR="00E20FE0">
        <w:rPr>
          <w:rFonts w:ascii="Arial" w:hAnsi="Arial" w:cs="Arial"/>
          <w:b/>
        </w:rPr>
        <w:t>CONSENTIMIENTO</w:t>
      </w:r>
    </w:p>
    <w:p w:rsidR="00855698" w:rsidRPr="00855698" w:rsidRDefault="00855698" w:rsidP="00855698">
      <w:pPr>
        <w:autoSpaceDE w:val="0"/>
        <w:autoSpaceDN w:val="0"/>
        <w:adjustRightInd w:val="0"/>
        <w:spacing w:after="240"/>
        <w:ind w:left="13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hecho de que nuestro </w:t>
      </w:r>
      <w:r w:rsidR="00CE36E0">
        <w:rPr>
          <w:rFonts w:ascii="Arial" w:hAnsi="Arial" w:cs="Arial"/>
        </w:rPr>
        <w:t>CEI</w:t>
      </w:r>
      <w:r>
        <w:rPr>
          <w:rFonts w:ascii="Arial" w:hAnsi="Arial" w:cs="Arial"/>
        </w:rPr>
        <w:t xml:space="preserve"> exente la utilización del Consentimiento, no excluye al investigador </w:t>
      </w:r>
      <w:r w:rsidR="008A3972">
        <w:rPr>
          <w:rFonts w:ascii="Arial" w:hAnsi="Arial" w:cs="Arial"/>
        </w:rPr>
        <w:t>de</w:t>
      </w:r>
      <w:r w:rsidR="00E20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colocar una nota en el expediente clínico o registro hospitalario </w:t>
      </w:r>
      <w:r w:rsidR="00E20FE0">
        <w:rPr>
          <w:rFonts w:ascii="Arial" w:hAnsi="Arial" w:cs="Arial"/>
        </w:rPr>
        <w:t xml:space="preserve">del paciente, </w:t>
      </w:r>
      <w:r>
        <w:rPr>
          <w:rFonts w:ascii="Arial" w:hAnsi="Arial" w:cs="Arial"/>
        </w:rPr>
        <w:t>acerca del proceso informativo del paciente</w:t>
      </w:r>
      <w:r w:rsidR="00996206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que deberá incluir y dar a conocer </w:t>
      </w:r>
      <w:r w:rsidR="00570481">
        <w:rPr>
          <w:rFonts w:ascii="Arial" w:hAnsi="Arial" w:cs="Arial"/>
        </w:rPr>
        <w:t>quién</w:t>
      </w:r>
      <w:r>
        <w:rPr>
          <w:rFonts w:ascii="Arial" w:hAnsi="Arial" w:cs="Arial"/>
        </w:rPr>
        <w:t xml:space="preserve"> será el responsable del estudio, </w:t>
      </w:r>
      <w:r w:rsidR="00E20FE0">
        <w:rPr>
          <w:rFonts w:ascii="Arial" w:hAnsi="Arial" w:cs="Arial"/>
        </w:rPr>
        <w:t xml:space="preserve">una </w:t>
      </w:r>
      <w:r>
        <w:rPr>
          <w:rFonts w:ascii="Arial" w:hAnsi="Arial" w:cs="Arial"/>
        </w:rPr>
        <w:t>introducción de l</w:t>
      </w:r>
      <w:r w:rsidR="00E20FE0">
        <w:rPr>
          <w:rFonts w:ascii="Arial" w:hAnsi="Arial" w:cs="Arial"/>
        </w:rPr>
        <w:t>os objetivos de l</w:t>
      </w:r>
      <w:r>
        <w:rPr>
          <w:rFonts w:ascii="Arial" w:hAnsi="Arial" w:cs="Arial"/>
        </w:rPr>
        <w:t>a investigación, beneficios por participar, procedimientos a realizar, tiempo de su participación, posibles complicaciones, confidencialidad y privacidad de los datos.</w:t>
      </w:r>
    </w:p>
    <w:p w:rsidR="00E67A9D" w:rsidRPr="001B51F6" w:rsidRDefault="00E67A9D" w:rsidP="00DB53D2">
      <w:pPr>
        <w:jc w:val="both"/>
        <w:rPr>
          <w:rFonts w:ascii="Arial" w:hAnsi="Arial" w:cs="Arial"/>
          <w:b/>
        </w:rPr>
      </w:pPr>
    </w:p>
    <w:p w:rsidR="00803517" w:rsidRPr="001B51F6" w:rsidRDefault="00803517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>IV. RESPONSABILIDADES</w:t>
      </w:r>
    </w:p>
    <w:p w:rsidR="001B213D" w:rsidRPr="001B51F6" w:rsidRDefault="001B213D" w:rsidP="00DB53D2">
      <w:pPr>
        <w:jc w:val="both"/>
        <w:rPr>
          <w:rFonts w:ascii="Arial" w:hAnsi="Arial" w:cs="Arial"/>
          <w:b/>
        </w:rPr>
      </w:pPr>
    </w:p>
    <w:p w:rsidR="00AA4F0A" w:rsidRPr="001B51F6" w:rsidRDefault="005F4C12" w:rsidP="00AA4F0A">
      <w:pPr>
        <w:pStyle w:val="level1bodystyle"/>
        <w:jc w:val="both"/>
        <w:rPr>
          <w:szCs w:val="24"/>
          <w:lang w:val="es-ES"/>
        </w:rPr>
      </w:pPr>
      <w:r w:rsidRPr="00B87EDE">
        <w:rPr>
          <w:snapToGrid w:val="0"/>
          <w:szCs w:val="24"/>
          <w:lang w:val="es-ES"/>
        </w:rPr>
        <w:t xml:space="preserve">El Presidente del </w:t>
      </w:r>
      <w:r w:rsidR="00CE36E0">
        <w:rPr>
          <w:snapToGrid w:val="0"/>
          <w:szCs w:val="24"/>
          <w:lang w:val="es-ES"/>
        </w:rPr>
        <w:t>CEI</w:t>
      </w:r>
      <w:r w:rsidRPr="00B87EDE">
        <w:rPr>
          <w:snapToGrid w:val="0"/>
          <w:szCs w:val="24"/>
          <w:lang w:val="es-ES"/>
        </w:rPr>
        <w:t xml:space="preserve">  es el responsable de determinar si las exenciones del consentimiento informado son aplicables y apropiadas para seguimiento con el investigador</w:t>
      </w:r>
      <w:r w:rsidR="00E20FE0">
        <w:rPr>
          <w:snapToGrid w:val="0"/>
          <w:szCs w:val="24"/>
          <w:lang w:val="es-ES"/>
        </w:rPr>
        <w:t>,</w:t>
      </w:r>
      <w:r w:rsidRPr="00B87EDE">
        <w:rPr>
          <w:snapToGrid w:val="0"/>
          <w:szCs w:val="24"/>
          <w:lang w:val="es-ES"/>
        </w:rPr>
        <w:t xml:space="preserve"> como se indica en la valoración de la exención</w:t>
      </w:r>
      <w:r w:rsidR="00AA4F0A" w:rsidRPr="001B51F6">
        <w:rPr>
          <w:snapToGrid w:val="0"/>
          <w:szCs w:val="24"/>
          <w:lang w:val="es-ES"/>
        </w:rPr>
        <w:t>.</w:t>
      </w:r>
    </w:p>
    <w:p w:rsidR="008A1BE2" w:rsidRPr="001B51F6" w:rsidRDefault="008A1BE2" w:rsidP="00DB53D2">
      <w:pPr>
        <w:jc w:val="both"/>
        <w:rPr>
          <w:rFonts w:ascii="Arial" w:hAnsi="Arial" w:cs="Arial"/>
          <w:b/>
        </w:rPr>
      </w:pPr>
    </w:p>
    <w:p w:rsidR="001B213D" w:rsidRPr="001B51F6" w:rsidRDefault="001B213D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>V. ALCANCE</w:t>
      </w:r>
    </w:p>
    <w:p w:rsidR="00CC79A3" w:rsidRPr="001B51F6" w:rsidRDefault="00CC79A3" w:rsidP="00DB53D2">
      <w:pPr>
        <w:jc w:val="both"/>
        <w:rPr>
          <w:rFonts w:ascii="Arial" w:hAnsi="Arial" w:cs="Arial"/>
          <w:b/>
        </w:rPr>
      </w:pPr>
    </w:p>
    <w:p w:rsidR="00AA4F0A" w:rsidRPr="001B51F6" w:rsidRDefault="005F4C12" w:rsidP="00AA4F0A">
      <w:pPr>
        <w:pStyle w:val="level1bodystyle"/>
        <w:jc w:val="both"/>
        <w:rPr>
          <w:szCs w:val="24"/>
          <w:lang w:val="es-ES"/>
        </w:rPr>
      </w:pPr>
      <w:r w:rsidRPr="00B87EDE">
        <w:rPr>
          <w:szCs w:val="24"/>
          <w:lang w:val="es-ES"/>
        </w:rPr>
        <w:t xml:space="preserve">Estas políticas y procedimientos se aplican a toda la investigación sometida al </w:t>
      </w:r>
      <w:r w:rsidR="00CE36E0">
        <w:rPr>
          <w:szCs w:val="24"/>
          <w:lang w:val="es-ES"/>
        </w:rPr>
        <w:t>CEI</w:t>
      </w:r>
      <w:r w:rsidR="00AA4F0A" w:rsidRPr="001B51F6">
        <w:rPr>
          <w:szCs w:val="24"/>
          <w:lang w:val="es-ES"/>
        </w:rPr>
        <w:t>.</w:t>
      </w:r>
    </w:p>
    <w:p w:rsidR="008A07E7" w:rsidRPr="001B51F6" w:rsidRDefault="008A07E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>V. PROCEDIMIENTO</w:t>
      </w:r>
    </w:p>
    <w:p w:rsidR="005F4C12" w:rsidRPr="001B51F6" w:rsidRDefault="005F4C12" w:rsidP="00DB53D2">
      <w:pPr>
        <w:jc w:val="both"/>
        <w:rPr>
          <w:rFonts w:ascii="Arial" w:hAnsi="Arial" w:cs="Arial"/>
          <w:b/>
        </w:rPr>
      </w:pPr>
    </w:p>
    <w:p w:rsidR="005F4C12" w:rsidRDefault="005F4C12" w:rsidP="005F4C12">
      <w:pPr>
        <w:pStyle w:val="level1bodystyle"/>
        <w:jc w:val="both"/>
        <w:rPr>
          <w:szCs w:val="24"/>
          <w:lang w:val="es-ES"/>
        </w:rPr>
      </w:pPr>
      <w:r w:rsidRPr="00B87EDE">
        <w:rPr>
          <w:szCs w:val="24"/>
          <w:lang w:val="es-ES"/>
        </w:rPr>
        <w:lastRenderedPageBreak/>
        <w:t xml:space="preserve">Describe los requisitos para la </w:t>
      </w:r>
      <w:r w:rsidR="00E20FE0">
        <w:rPr>
          <w:szCs w:val="24"/>
          <w:lang w:val="es-ES"/>
        </w:rPr>
        <w:t>exención</w:t>
      </w:r>
      <w:r w:rsidRPr="00B87EDE">
        <w:rPr>
          <w:szCs w:val="24"/>
          <w:lang w:val="es-ES"/>
        </w:rPr>
        <w:t xml:space="preserve"> de ciertos procedimientos del consentimiento informado y la </w:t>
      </w:r>
      <w:r w:rsidR="00E20FE0">
        <w:rPr>
          <w:szCs w:val="24"/>
          <w:lang w:val="es-ES"/>
        </w:rPr>
        <w:t>exención</w:t>
      </w:r>
      <w:r w:rsidRPr="00B87EDE">
        <w:rPr>
          <w:szCs w:val="24"/>
          <w:lang w:val="es-ES"/>
        </w:rPr>
        <w:t xml:space="preserve"> de los requisitos para obtener el consentimiento informado.</w:t>
      </w:r>
    </w:p>
    <w:p w:rsidR="005F4C12" w:rsidRDefault="005F4C12" w:rsidP="00DB53D2">
      <w:pPr>
        <w:jc w:val="both"/>
        <w:rPr>
          <w:rFonts w:ascii="Arial" w:hAnsi="Arial" w:cs="Arial"/>
        </w:rPr>
      </w:pPr>
    </w:p>
    <w:p w:rsidR="005F4C12" w:rsidRPr="001B51F6" w:rsidRDefault="005F4C12" w:rsidP="00DB53D2">
      <w:pPr>
        <w:jc w:val="both"/>
        <w:rPr>
          <w:rFonts w:ascii="Arial" w:hAnsi="Arial" w:cs="Arial"/>
          <w:b/>
        </w:rPr>
      </w:pPr>
    </w:p>
    <w:tbl>
      <w:tblPr>
        <w:tblW w:w="851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0"/>
        <w:gridCol w:w="3562"/>
        <w:gridCol w:w="2700"/>
      </w:tblGrid>
      <w:tr w:rsidR="005F4C12" w:rsidRPr="00B87EDE" w:rsidTr="00E20FE0">
        <w:trPr>
          <w:cantSplit/>
        </w:trPr>
        <w:tc>
          <w:tcPr>
            <w:tcW w:w="2250" w:type="dxa"/>
            <w:shd w:val="pct10" w:color="000000" w:fill="FFFFFF"/>
          </w:tcPr>
          <w:p w:rsidR="005F4C12" w:rsidRPr="00B87EDE" w:rsidRDefault="005F4C12" w:rsidP="00781CDB">
            <w:pPr>
              <w:pStyle w:val="procedurestablestyle"/>
              <w:jc w:val="both"/>
              <w:rPr>
                <w:szCs w:val="24"/>
                <w:lang w:val="es-ES"/>
              </w:rPr>
            </w:pPr>
            <w:r w:rsidRPr="00B87EDE">
              <w:rPr>
                <w:b/>
                <w:szCs w:val="24"/>
                <w:lang w:val="es-ES"/>
              </w:rPr>
              <w:t>Quién</w:t>
            </w:r>
          </w:p>
        </w:tc>
        <w:tc>
          <w:tcPr>
            <w:tcW w:w="3562" w:type="dxa"/>
            <w:shd w:val="pct10" w:color="000000" w:fill="FFFFFF"/>
          </w:tcPr>
          <w:p w:rsidR="005F4C12" w:rsidRPr="00B87EDE" w:rsidRDefault="005F4C12" w:rsidP="00781CDB">
            <w:pPr>
              <w:pStyle w:val="procedurestablestyle"/>
              <w:jc w:val="both"/>
              <w:rPr>
                <w:szCs w:val="24"/>
                <w:lang w:val="es-ES"/>
              </w:rPr>
            </w:pPr>
            <w:r w:rsidRPr="00B87EDE">
              <w:rPr>
                <w:b/>
                <w:szCs w:val="24"/>
                <w:lang w:val="es-ES"/>
              </w:rPr>
              <w:t>Tarea</w:t>
            </w:r>
          </w:p>
        </w:tc>
        <w:tc>
          <w:tcPr>
            <w:tcW w:w="2700" w:type="dxa"/>
            <w:shd w:val="pct10" w:color="000000" w:fill="FFFFFF"/>
          </w:tcPr>
          <w:p w:rsidR="005F4C12" w:rsidRPr="00B87EDE" w:rsidRDefault="005F4C12" w:rsidP="00781CDB">
            <w:pPr>
              <w:pStyle w:val="procedurestablestyle"/>
              <w:jc w:val="both"/>
              <w:rPr>
                <w:szCs w:val="24"/>
                <w:lang w:val="es-ES"/>
              </w:rPr>
            </w:pPr>
            <w:r w:rsidRPr="00B87EDE">
              <w:rPr>
                <w:b/>
                <w:szCs w:val="24"/>
                <w:lang w:val="es-ES"/>
              </w:rPr>
              <w:t>Herramienta</w:t>
            </w:r>
          </w:p>
        </w:tc>
      </w:tr>
      <w:tr w:rsidR="005F4C12" w:rsidRPr="00B87EDE" w:rsidTr="00E20FE0">
        <w:trPr>
          <w:cantSplit/>
        </w:trPr>
        <w:tc>
          <w:tcPr>
            <w:tcW w:w="2250" w:type="dxa"/>
            <w:shd w:val="pct5" w:color="000000" w:fill="FFFFFF"/>
          </w:tcPr>
          <w:p w:rsidR="005F4C12" w:rsidRPr="00B87EDE" w:rsidRDefault="005F4C12" w:rsidP="00781CDB">
            <w:pPr>
              <w:pStyle w:val="procedurestablestyle"/>
              <w:jc w:val="both"/>
              <w:rPr>
                <w:szCs w:val="24"/>
                <w:lang w:val="es-ES"/>
              </w:rPr>
            </w:pPr>
            <w:r w:rsidRPr="00B87EDE">
              <w:rPr>
                <w:i/>
                <w:szCs w:val="24"/>
                <w:lang w:val="es-ES"/>
              </w:rPr>
              <w:t xml:space="preserve">Presidente del </w:t>
            </w:r>
            <w:r w:rsidR="00CE36E0">
              <w:rPr>
                <w:i/>
                <w:szCs w:val="24"/>
                <w:lang w:val="es-ES"/>
              </w:rPr>
              <w:t>CEI</w:t>
            </w:r>
            <w:r w:rsidRPr="00B87EDE">
              <w:rPr>
                <w:i/>
                <w:szCs w:val="24"/>
                <w:lang w:val="es-ES"/>
              </w:rPr>
              <w:t xml:space="preserve"> </w:t>
            </w:r>
          </w:p>
        </w:tc>
        <w:tc>
          <w:tcPr>
            <w:tcW w:w="3562" w:type="dxa"/>
            <w:shd w:val="pct5" w:color="000000" w:fill="FFFFFF"/>
          </w:tcPr>
          <w:p w:rsidR="005F4C12" w:rsidRPr="00B87EDE" w:rsidRDefault="005F4C12" w:rsidP="00EE0251">
            <w:pPr>
              <w:pStyle w:val="procedurestablestyle"/>
              <w:jc w:val="both"/>
              <w:rPr>
                <w:szCs w:val="24"/>
                <w:lang w:val="es-ES"/>
              </w:rPr>
            </w:pPr>
            <w:r w:rsidRPr="00B87EDE">
              <w:rPr>
                <w:szCs w:val="24"/>
                <w:lang w:val="es-ES"/>
              </w:rPr>
              <w:t>Revis</w:t>
            </w:r>
            <w:r w:rsidR="00E20FE0">
              <w:rPr>
                <w:szCs w:val="24"/>
                <w:lang w:val="es-ES"/>
              </w:rPr>
              <w:t>ar</w:t>
            </w:r>
            <w:r w:rsidRPr="00B87EDE">
              <w:rPr>
                <w:szCs w:val="24"/>
                <w:lang w:val="es-ES"/>
              </w:rPr>
              <w:t xml:space="preserve"> el sometimiento para determinar si se solicita la </w:t>
            </w:r>
            <w:r w:rsidR="00E20FE0">
              <w:rPr>
                <w:szCs w:val="24"/>
                <w:lang w:val="es-ES"/>
              </w:rPr>
              <w:t>exención</w:t>
            </w:r>
            <w:r w:rsidRPr="00B87EDE">
              <w:rPr>
                <w:szCs w:val="24"/>
                <w:lang w:val="es-ES"/>
              </w:rPr>
              <w:t>.  Si es así, indi</w:t>
            </w:r>
            <w:r w:rsidR="00EE0251">
              <w:rPr>
                <w:szCs w:val="24"/>
                <w:lang w:val="es-ES"/>
              </w:rPr>
              <w:t>car</w:t>
            </w:r>
            <w:r w:rsidRPr="00B87EDE">
              <w:rPr>
                <w:szCs w:val="24"/>
                <w:lang w:val="es-ES"/>
              </w:rPr>
              <w:t xml:space="preserve"> en la plantilla </w:t>
            </w:r>
            <w:r w:rsidR="00EE0251">
              <w:rPr>
                <w:szCs w:val="24"/>
                <w:lang w:val="es-ES"/>
              </w:rPr>
              <w:t>d</w:t>
            </w:r>
            <w:r w:rsidR="00996206">
              <w:rPr>
                <w:szCs w:val="24"/>
                <w:lang w:val="es-ES"/>
              </w:rPr>
              <w:t>e</w:t>
            </w:r>
            <w:r w:rsidR="00EE0251">
              <w:rPr>
                <w:szCs w:val="24"/>
                <w:lang w:val="es-ES"/>
              </w:rPr>
              <w:t xml:space="preserve"> la </w:t>
            </w:r>
            <w:r w:rsidRPr="00B87EDE">
              <w:rPr>
                <w:szCs w:val="24"/>
                <w:lang w:val="es-ES"/>
              </w:rPr>
              <w:t>agenda/</w:t>
            </w:r>
            <w:r w:rsidR="00EE0251">
              <w:rPr>
                <w:szCs w:val="24"/>
                <w:lang w:val="es-ES"/>
              </w:rPr>
              <w:t xml:space="preserve">minuta </w:t>
            </w:r>
            <w:r w:rsidRPr="00B87EDE">
              <w:rPr>
                <w:szCs w:val="24"/>
                <w:lang w:val="es-ES"/>
              </w:rPr>
              <w:t xml:space="preserve">del </w:t>
            </w:r>
            <w:r w:rsidR="00CE36E0">
              <w:rPr>
                <w:szCs w:val="24"/>
                <w:lang w:val="es-ES"/>
              </w:rPr>
              <w:t>CEI</w:t>
            </w:r>
            <w:r w:rsidRPr="00B87EDE">
              <w:rPr>
                <w:szCs w:val="24"/>
                <w:lang w:val="es-ES"/>
              </w:rPr>
              <w:t xml:space="preserve"> que </w:t>
            </w:r>
            <w:r w:rsidR="00EE0251">
              <w:rPr>
                <w:szCs w:val="24"/>
                <w:lang w:val="es-ES"/>
              </w:rPr>
              <w:t>se solicita la exención</w:t>
            </w:r>
            <w:r w:rsidRPr="00B87EDE">
              <w:rPr>
                <w:szCs w:val="24"/>
                <w:lang w:val="es-ES"/>
              </w:rPr>
              <w:t>.</w:t>
            </w:r>
          </w:p>
        </w:tc>
        <w:tc>
          <w:tcPr>
            <w:tcW w:w="2700" w:type="dxa"/>
            <w:shd w:val="pct5" w:color="000000" w:fill="FFFFFF"/>
          </w:tcPr>
          <w:p w:rsidR="005F4C12" w:rsidRPr="00B87EDE" w:rsidRDefault="00EE0251" w:rsidP="00781CDB">
            <w:pPr>
              <w:pStyle w:val="procedurestablestyle"/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Exención</w:t>
            </w:r>
            <w:r w:rsidR="005F4C12" w:rsidRPr="00B87EDE">
              <w:rPr>
                <w:szCs w:val="24"/>
                <w:lang w:val="es-ES"/>
              </w:rPr>
              <w:t xml:space="preserve"> o alteración del consentimiento informado bajo la tabla de decisión de </w:t>
            </w:r>
            <w:r>
              <w:rPr>
                <w:szCs w:val="24"/>
                <w:lang w:val="es-ES"/>
              </w:rPr>
              <w:t xml:space="preserve">la norma </w:t>
            </w:r>
            <w:r w:rsidR="005F4C12" w:rsidRPr="00B87EDE">
              <w:rPr>
                <w:szCs w:val="24"/>
                <w:lang w:val="es-ES"/>
              </w:rPr>
              <w:t>45 CFR 46.116</w:t>
            </w:r>
            <w:r>
              <w:rPr>
                <w:szCs w:val="24"/>
                <w:lang w:val="es-ES"/>
              </w:rPr>
              <w:t xml:space="preserve"> </w:t>
            </w:r>
            <w:r w:rsidR="005F4C12" w:rsidRPr="00B87EDE">
              <w:rPr>
                <w:szCs w:val="24"/>
                <w:lang w:val="es-ES"/>
              </w:rPr>
              <w:t>(d)</w:t>
            </w:r>
            <w:r>
              <w:rPr>
                <w:szCs w:val="24"/>
                <w:lang w:val="es-ES"/>
              </w:rPr>
              <w:t>. Artí</w:t>
            </w:r>
            <w:r w:rsidR="00181686">
              <w:rPr>
                <w:szCs w:val="24"/>
                <w:lang w:val="es-ES"/>
              </w:rPr>
              <w:t>culo 23 de la Ley General de Salud.</w:t>
            </w:r>
          </w:p>
        </w:tc>
      </w:tr>
    </w:tbl>
    <w:p w:rsidR="001C0FC1" w:rsidRPr="001B51F6" w:rsidRDefault="001C0FC1" w:rsidP="00DB53D2">
      <w:pPr>
        <w:jc w:val="both"/>
        <w:rPr>
          <w:rFonts w:ascii="Arial" w:hAnsi="Arial" w:cs="Arial"/>
          <w:b/>
        </w:rPr>
      </w:pPr>
    </w:p>
    <w:p w:rsidR="001C0FC1" w:rsidRPr="001B51F6" w:rsidRDefault="001C0FC1" w:rsidP="00DB53D2">
      <w:pPr>
        <w:jc w:val="both"/>
        <w:rPr>
          <w:rFonts w:ascii="Arial" w:hAnsi="Arial" w:cs="Arial"/>
          <w:b/>
        </w:rPr>
      </w:pPr>
    </w:p>
    <w:p w:rsidR="00803517" w:rsidRPr="001B51F6" w:rsidRDefault="00803517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>VI. MATERIALES</w:t>
      </w:r>
    </w:p>
    <w:p w:rsidR="003D3DE3" w:rsidRPr="001B51F6" w:rsidRDefault="003D3DE3" w:rsidP="00DB53D2">
      <w:pPr>
        <w:jc w:val="both"/>
        <w:rPr>
          <w:rFonts w:ascii="Arial" w:hAnsi="Arial" w:cs="Arial"/>
          <w:b/>
        </w:rPr>
      </w:pPr>
    </w:p>
    <w:p w:rsidR="005F4C12" w:rsidRPr="00B87EDE" w:rsidRDefault="00EE0251" w:rsidP="005F4C12">
      <w:pPr>
        <w:tabs>
          <w:tab w:val="left" w:pos="270"/>
          <w:tab w:val="left" w:pos="1728"/>
          <w:tab w:val="left" w:pos="1998"/>
          <w:tab w:val="left" w:pos="10458"/>
        </w:tabs>
        <w:ind w:left="270"/>
        <w:jc w:val="both"/>
        <w:rPr>
          <w:rFonts w:ascii="Arial" w:hAnsi="Arial" w:cs="Arial"/>
        </w:rPr>
      </w:pPr>
      <w:r>
        <w:rPr>
          <w:rFonts w:ascii="Arial" w:hAnsi="Arial" w:cs="Arial"/>
        </w:rPr>
        <w:t>Exención</w:t>
      </w:r>
      <w:r w:rsidR="005F4C12" w:rsidRPr="00B87EDE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a</w:t>
      </w:r>
      <w:r w:rsidR="005F4C12" w:rsidRPr="00B87EDE">
        <w:rPr>
          <w:rFonts w:ascii="Arial" w:hAnsi="Arial" w:cs="Arial"/>
        </w:rPr>
        <w:t xml:space="preserve">lteración del </w:t>
      </w:r>
      <w:r>
        <w:rPr>
          <w:rFonts w:ascii="Arial" w:hAnsi="Arial" w:cs="Arial"/>
        </w:rPr>
        <w:t xml:space="preserve">SOP </w:t>
      </w:r>
      <w:r w:rsidR="005F4C12" w:rsidRPr="00B87EDE">
        <w:rPr>
          <w:rFonts w:ascii="Arial" w:hAnsi="Arial" w:cs="Arial"/>
        </w:rPr>
        <w:t>IC 702-</w:t>
      </w:r>
      <w:proofErr w:type="gramStart"/>
      <w:r w:rsidR="005F4C12" w:rsidRPr="00B87EDE">
        <w:rPr>
          <w:rFonts w:ascii="Arial" w:hAnsi="Arial" w:cs="Arial"/>
        </w:rPr>
        <w:t>A</w:t>
      </w:r>
      <w:proofErr w:type="gramEnd"/>
      <w:r w:rsidR="005F4C12" w:rsidRPr="00B87EDE">
        <w:rPr>
          <w:rFonts w:ascii="Arial" w:hAnsi="Arial" w:cs="Arial"/>
        </w:rPr>
        <w:t xml:space="preserve"> del consentimiento informado</w:t>
      </w:r>
      <w:r>
        <w:rPr>
          <w:rFonts w:ascii="Arial" w:hAnsi="Arial" w:cs="Arial"/>
        </w:rPr>
        <w:t>,</w:t>
      </w:r>
      <w:r w:rsidR="005F4C12" w:rsidRPr="00B87EDE">
        <w:rPr>
          <w:rFonts w:ascii="Arial" w:hAnsi="Arial" w:cs="Arial"/>
        </w:rPr>
        <w:t xml:space="preserve"> bajo la tabla de decisión de </w:t>
      </w:r>
      <w:r>
        <w:rPr>
          <w:rFonts w:ascii="Arial" w:hAnsi="Arial" w:cs="Arial"/>
        </w:rPr>
        <w:t xml:space="preserve">la norma </w:t>
      </w:r>
      <w:r w:rsidR="005F4C12" w:rsidRPr="00B87EDE">
        <w:rPr>
          <w:rFonts w:ascii="Arial" w:hAnsi="Arial" w:cs="Arial"/>
        </w:rPr>
        <w:t>45 CFR 46.116</w:t>
      </w:r>
      <w:r>
        <w:rPr>
          <w:rFonts w:ascii="Arial" w:hAnsi="Arial" w:cs="Arial"/>
        </w:rPr>
        <w:t xml:space="preserve"> </w:t>
      </w:r>
      <w:r w:rsidR="005F4C12" w:rsidRPr="00B87EDE">
        <w:rPr>
          <w:rFonts w:ascii="Arial" w:hAnsi="Arial" w:cs="Arial"/>
        </w:rPr>
        <w:t>(d)</w:t>
      </w:r>
      <w:r w:rsidR="00181686">
        <w:rPr>
          <w:rFonts w:ascii="Arial" w:hAnsi="Arial" w:cs="Arial"/>
        </w:rPr>
        <w:t>.</w:t>
      </w:r>
    </w:p>
    <w:p w:rsidR="00B50A97" w:rsidRPr="001B51F6" w:rsidRDefault="00B50A97" w:rsidP="00DB53D2">
      <w:pPr>
        <w:jc w:val="both"/>
        <w:rPr>
          <w:rFonts w:ascii="Arial" w:hAnsi="Arial" w:cs="Arial"/>
          <w:b/>
        </w:rPr>
      </w:pPr>
    </w:p>
    <w:p w:rsidR="00830631" w:rsidRPr="00944418" w:rsidRDefault="00830631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 xml:space="preserve">VII. </w:t>
      </w:r>
      <w:r w:rsidRPr="00944418">
        <w:rPr>
          <w:rFonts w:ascii="Arial" w:hAnsi="Arial" w:cs="Arial"/>
          <w:b/>
        </w:rPr>
        <w:t>LIGAS DE INTERES</w:t>
      </w:r>
      <w:r w:rsidR="002E2FEC" w:rsidRPr="00944418">
        <w:rPr>
          <w:rFonts w:ascii="Arial" w:hAnsi="Arial" w:cs="Arial"/>
          <w:b/>
        </w:rPr>
        <w:t xml:space="preserve"> O DE DESCARGA</w:t>
      </w:r>
    </w:p>
    <w:p w:rsidR="00985FCE" w:rsidRPr="00944418" w:rsidRDefault="00985FCE" w:rsidP="00DB53D2">
      <w:pPr>
        <w:jc w:val="both"/>
        <w:rPr>
          <w:rFonts w:ascii="Arial" w:hAnsi="Arial" w:cs="Arial"/>
          <w:b/>
        </w:rPr>
      </w:pPr>
    </w:p>
    <w:p w:rsidR="00EE0251" w:rsidRPr="00944418" w:rsidRDefault="00CB37E8" w:rsidP="00996206">
      <w:pPr>
        <w:shd w:val="clear" w:color="auto" w:fill="FFFFFF" w:themeFill="background1"/>
        <w:textAlignment w:val="top"/>
        <w:rPr>
          <w:rFonts w:ascii="Arial" w:hAnsi="Arial" w:cs="Arial"/>
          <w:sz w:val="26"/>
          <w:szCs w:val="26"/>
        </w:rPr>
      </w:pPr>
      <w:r w:rsidRPr="00944418">
        <w:rPr>
          <w:rFonts w:ascii="Arial" w:hAnsi="Arial" w:cs="Arial"/>
        </w:rPr>
        <w:t xml:space="preserve">VII.1 </w:t>
      </w:r>
      <w:r w:rsidR="003711D6" w:rsidRPr="00944418">
        <w:rPr>
          <w:rFonts w:ascii="Arial" w:hAnsi="Arial" w:cs="Arial"/>
        </w:rPr>
        <w:t xml:space="preserve">FDA. </w:t>
      </w:r>
      <w:r w:rsidR="00EE0251" w:rsidRPr="00944418">
        <w:rPr>
          <w:rStyle w:val="longtext"/>
          <w:rFonts w:ascii="Arial" w:hAnsi="Arial" w:cs="Arial"/>
          <w:shd w:val="clear" w:color="auto" w:fill="EBEFF9"/>
        </w:rPr>
        <w:t>Exención del Consentimiento Informado para estudios conducidos en situaciones de emergencia: Lenguaje Regulatorio y Extractos de Preámbulo - Hoja de Información</w:t>
      </w:r>
    </w:p>
    <w:p w:rsidR="005F4C12" w:rsidRPr="00570481" w:rsidRDefault="005F4C12" w:rsidP="001C0FC1">
      <w:pPr>
        <w:ind w:firstLine="708"/>
        <w:jc w:val="both"/>
        <w:rPr>
          <w:rFonts w:ascii="Arial" w:hAnsi="Arial" w:cs="Arial"/>
          <w:lang w:val="es-MX"/>
        </w:rPr>
      </w:pPr>
    </w:p>
    <w:p w:rsidR="00AA4F0A" w:rsidRPr="00570481" w:rsidRDefault="00163A94" w:rsidP="001C0FC1">
      <w:pPr>
        <w:ind w:firstLine="708"/>
        <w:jc w:val="both"/>
        <w:rPr>
          <w:rFonts w:ascii="Arial" w:hAnsi="Arial" w:cs="Arial"/>
          <w:lang w:val="es-MX"/>
        </w:rPr>
      </w:pPr>
      <w:hyperlink r:id="rId8" w:history="1">
        <w:r w:rsidR="005F4C12" w:rsidRPr="00570481">
          <w:rPr>
            <w:rStyle w:val="Hipervnculo"/>
            <w:rFonts w:ascii="Arial" w:hAnsi="Arial" w:cs="Arial"/>
            <w:lang w:val="es-MX"/>
          </w:rPr>
          <w:t>http://www.fda.gov/RegulatoryInformation/Guidances/ucm126482.htm</w:t>
        </w:r>
      </w:hyperlink>
    </w:p>
    <w:p w:rsidR="00CB37E8" w:rsidRPr="00570481" w:rsidRDefault="00CB37E8" w:rsidP="009C4C4B">
      <w:pPr>
        <w:jc w:val="both"/>
        <w:rPr>
          <w:rFonts w:ascii="Arial" w:hAnsi="Arial" w:cs="Arial"/>
          <w:lang w:val="es-MX"/>
        </w:rPr>
      </w:pPr>
    </w:p>
    <w:p w:rsidR="00803517" w:rsidRPr="00570481" w:rsidRDefault="00803517" w:rsidP="00DB53D2">
      <w:pPr>
        <w:jc w:val="both"/>
        <w:rPr>
          <w:rFonts w:ascii="Arial" w:hAnsi="Arial" w:cs="Arial"/>
          <w:b/>
          <w:lang w:val="es-MX"/>
        </w:rPr>
      </w:pPr>
    </w:p>
    <w:p w:rsidR="00803517" w:rsidRPr="001B51F6" w:rsidRDefault="00803517" w:rsidP="00DB53D2">
      <w:pPr>
        <w:jc w:val="both"/>
        <w:rPr>
          <w:rFonts w:ascii="Arial" w:hAnsi="Arial" w:cs="Arial"/>
          <w:b/>
        </w:rPr>
      </w:pPr>
      <w:r w:rsidRPr="001B51F6">
        <w:rPr>
          <w:rFonts w:ascii="Arial" w:hAnsi="Arial" w:cs="Arial"/>
          <w:b/>
        </w:rPr>
        <w:t>VI</w:t>
      </w:r>
      <w:r w:rsidR="00830631" w:rsidRPr="001B51F6">
        <w:rPr>
          <w:rFonts w:ascii="Arial" w:hAnsi="Arial" w:cs="Arial"/>
          <w:b/>
        </w:rPr>
        <w:t>I</w:t>
      </w:r>
      <w:r w:rsidRPr="001B51F6">
        <w:rPr>
          <w:rFonts w:ascii="Arial" w:hAnsi="Arial" w:cs="Arial"/>
          <w:b/>
        </w:rPr>
        <w:t>I. REFERENCIAS</w:t>
      </w:r>
    </w:p>
    <w:p w:rsidR="003711D6" w:rsidRPr="001B51F6" w:rsidRDefault="003711D6" w:rsidP="0066775B">
      <w:pPr>
        <w:pStyle w:val="level1bodystyle"/>
        <w:ind w:left="1080"/>
        <w:jc w:val="both"/>
        <w:rPr>
          <w:szCs w:val="24"/>
          <w:lang w:val="es-ES"/>
        </w:rPr>
      </w:pPr>
    </w:p>
    <w:p w:rsidR="005F4C12" w:rsidRDefault="005F4C12" w:rsidP="005F4C12">
      <w:pPr>
        <w:pStyle w:val="level1bodystyle"/>
        <w:numPr>
          <w:ilvl w:val="0"/>
          <w:numId w:val="10"/>
        </w:numPr>
        <w:jc w:val="both"/>
        <w:rPr>
          <w:szCs w:val="24"/>
          <w:lang w:val="es-ES"/>
        </w:rPr>
      </w:pPr>
      <w:r w:rsidRPr="00B87EDE">
        <w:rPr>
          <w:szCs w:val="24"/>
          <w:lang w:val="es-ES"/>
        </w:rPr>
        <w:t>21 CFR 50.23, 50.24</w:t>
      </w:r>
    </w:p>
    <w:p w:rsidR="005F4C12" w:rsidRDefault="005F4C12" w:rsidP="005F4C12">
      <w:pPr>
        <w:pStyle w:val="level1bodystyle"/>
        <w:numPr>
          <w:ilvl w:val="0"/>
          <w:numId w:val="10"/>
        </w:numPr>
        <w:jc w:val="both"/>
        <w:rPr>
          <w:szCs w:val="24"/>
          <w:lang w:val="es-ES"/>
        </w:rPr>
      </w:pPr>
      <w:r w:rsidRPr="005F4C12">
        <w:rPr>
          <w:szCs w:val="24"/>
          <w:lang w:val="es-ES"/>
        </w:rPr>
        <w:t>21 CFR56.109</w:t>
      </w:r>
      <w:r w:rsidR="00EE0251">
        <w:rPr>
          <w:szCs w:val="24"/>
          <w:lang w:val="es-ES"/>
        </w:rPr>
        <w:t xml:space="preserve"> </w:t>
      </w:r>
      <w:r w:rsidRPr="005F4C12">
        <w:rPr>
          <w:szCs w:val="24"/>
          <w:lang w:val="es-ES"/>
        </w:rPr>
        <w:t>(c), 56.109</w:t>
      </w:r>
      <w:r w:rsidR="00EE0251">
        <w:rPr>
          <w:szCs w:val="24"/>
          <w:lang w:val="es-ES"/>
        </w:rPr>
        <w:t xml:space="preserve"> </w:t>
      </w:r>
      <w:r w:rsidRPr="005F4C12">
        <w:rPr>
          <w:szCs w:val="24"/>
          <w:lang w:val="es-ES"/>
        </w:rPr>
        <w:t xml:space="preserve">(d) </w:t>
      </w:r>
    </w:p>
    <w:p w:rsidR="005F4C12" w:rsidRDefault="005F4C12" w:rsidP="005F4C12">
      <w:pPr>
        <w:pStyle w:val="level1bodystyle"/>
        <w:numPr>
          <w:ilvl w:val="0"/>
          <w:numId w:val="10"/>
        </w:numPr>
        <w:jc w:val="both"/>
        <w:rPr>
          <w:szCs w:val="24"/>
          <w:lang w:val="es-ES"/>
        </w:rPr>
      </w:pPr>
      <w:r w:rsidRPr="005F4C12">
        <w:rPr>
          <w:szCs w:val="24"/>
          <w:lang w:val="es-ES"/>
        </w:rPr>
        <w:t>45 CFR 116</w:t>
      </w:r>
    </w:p>
    <w:p w:rsidR="005F4C12" w:rsidRPr="005F4C12" w:rsidRDefault="005F4C12" w:rsidP="005F4C12">
      <w:pPr>
        <w:pStyle w:val="level1bodystyle"/>
        <w:numPr>
          <w:ilvl w:val="0"/>
          <w:numId w:val="10"/>
        </w:numPr>
        <w:jc w:val="both"/>
        <w:rPr>
          <w:szCs w:val="24"/>
          <w:lang w:val="es-ES"/>
        </w:rPr>
      </w:pPr>
      <w:r w:rsidRPr="005F4C12">
        <w:rPr>
          <w:szCs w:val="24"/>
          <w:lang w:val="es-ES"/>
        </w:rPr>
        <w:t xml:space="preserve">Ley General de Salud en </w:t>
      </w:r>
      <w:r w:rsidR="00EE0251">
        <w:rPr>
          <w:szCs w:val="24"/>
          <w:lang w:val="es-ES"/>
        </w:rPr>
        <w:t>M</w:t>
      </w:r>
      <w:r w:rsidRPr="005F4C12">
        <w:rPr>
          <w:szCs w:val="24"/>
          <w:lang w:val="es-ES"/>
        </w:rPr>
        <w:t>ateria de Investigación</w:t>
      </w:r>
      <w:r w:rsidR="00EE0251">
        <w:rPr>
          <w:szCs w:val="24"/>
          <w:lang w:val="es-ES"/>
        </w:rPr>
        <w:t>, en s</w:t>
      </w:r>
      <w:r w:rsidR="00215A4B" w:rsidRPr="00241566">
        <w:rPr>
          <w:szCs w:val="24"/>
          <w:lang w:val="es-MX"/>
        </w:rPr>
        <w:t>u</w:t>
      </w:r>
      <w:r w:rsidR="00215A4B" w:rsidRPr="00EE0251">
        <w:rPr>
          <w:szCs w:val="24"/>
          <w:lang w:val="es-MX"/>
        </w:rPr>
        <w:t xml:space="preserve"> </w:t>
      </w:r>
      <w:r w:rsidR="00137D71" w:rsidRPr="00EE0251">
        <w:rPr>
          <w:color w:val="000000"/>
          <w:szCs w:val="24"/>
          <w:lang w:val="es-MX"/>
        </w:rPr>
        <w:t>Artí</w:t>
      </w:r>
      <w:r w:rsidR="00215A4B" w:rsidRPr="00EE0251">
        <w:rPr>
          <w:color w:val="000000"/>
          <w:szCs w:val="24"/>
          <w:lang w:val="es-MX"/>
        </w:rPr>
        <w:t>culo</w:t>
      </w:r>
      <w:r w:rsidR="00215A4B" w:rsidRPr="00570481">
        <w:rPr>
          <w:color w:val="000000"/>
          <w:szCs w:val="24"/>
          <w:lang w:val="es-MX"/>
        </w:rPr>
        <w:t xml:space="preserve"> 23</w:t>
      </w:r>
    </w:p>
    <w:p w:rsidR="00D8488F" w:rsidRPr="00570481" w:rsidRDefault="006401B4" w:rsidP="00137D71">
      <w:pPr>
        <w:pStyle w:val="level1bodystyle"/>
        <w:numPr>
          <w:ilvl w:val="0"/>
          <w:numId w:val="10"/>
        </w:numPr>
        <w:jc w:val="both"/>
        <w:rPr>
          <w:lang w:val="es-MX"/>
        </w:rPr>
      </w:pPr>
      <w:r w:rsidRPr="005F4C12">
        <w:rPr>
          <w:szCs w:val="24"/>
          <w:lang w:val="es-MX"/>
        </w:rPr>
        <w:t>Referencia de la AAHRPP</w:t>
      </w:r>
      <w:r w:rsidR="00E81964" w:rsidRPr="005F4C12">
        <w:rPr>
          <w:szCs w:val="24"/>
          <w:lang w:val="es-MX"/>
        </w:rPr>
        <w:t xml:space="preserve">. </w:t>
      </w:r>
      <w:r w:rsidR="001C0FC1" w:rsidRPr="005F4C12">
        <w:rPr>
          <w:szCs w:val="24"/>
          <w:lang w:val="es-MX"/>
        </w:rPr>
        <w:t xml:space="preserve">Elementos </w:t>
      </w:r>
      <w:r w:rsidR="00855698">
        <w:rPr>
          <w:szCs w:val="24"/>
          <w:lang w:val="es-MX"/>
        </w:rPr>
        <w:t xml:space="preserve"> II.3.G</w:t>
      </w:r>
      <w:r w:rsidR="009160CA">
        <w:rPr>
          <w:szCs w:val="24"/>
          <w:lang w:val="es-MX"/>
        </w:rPr>
        <w:t>, II.4.C.</w:t>
      </w:r>
      <w:bookmarkStart w:id="0" w:name="_GoBack"/>
      <w:bookmarkEnd w:id="0"/>
    </w:p>
    <w:sectPr w:rsidR="00D8488F" w:rsidRPr="00570481" w:rsidSect="000C15D7">
      <w:headerReference w:type="default" r:id="rId9"/>
      <w:footerReference w:type="default" r:id="rId10"/>
      <w:pgSz w:w="12242" w:h="15842" w:code="1"/>
      <w:pgMar w:top="1701" w:right="1701" w:bottom="1418" w:left="1701" w:header="1703" w:footer="9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E2C" w:rsidRDefault="00B56E2C" w:rsidP="00CB37E8">
      <w:r>
        <w:separator/>
      </w:r>
    </w:p>
  </w:endnote>
  <w:endnote w:type="continuationSeparator" w:id="0">
    <w:p w:rsidR="00B56E2C" w:rsidRDefault="00B56E2C" w:rsidP="00CB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4273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781CDB" w:rsidRDefault="00781CDB">
            <w:pPr>
              <w:pStyle w:val="Piedepgina"/>
              <w:jc w:val="right"/>
            </w:pPr>
            <w:r>
              <w:t xml:space="preserve">Página </w:t>
            </w:r>
            <w:r w:rsidR="00163A9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163A94">
              <w:rPr>
                <w:b/>
              </w:rPr>
              <w:fldChar w:fldCharType="separate"/>
            </w:r>
            <w:r w:rsidR="00CE36E0">
              <w:rPr>
                <w:b/>
                <w:noProof/>
              </w:rPr>
              <w:t>1</w:t>
            </w:r>
            <w:r w:rsidR="00163A94">
              <w:rPr>
                <w:b/>
              </w:rPr>
              <w:fldChar w:fldCharType="end"/>
            </w:r>
            <w:r>
              <w:t xml:space="preserve"> de </w:t>
            </w:r>
            <w:r w:rsidR="00163A9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163A94">
              <w:rPr>
                <w:b/>
              </w:rPr>
              <w:fldChar w:fldCharType="separate"/>
            </w:r>
            <w:r w:rsidR="00CE36E0">
              <w:rPr>
                <w:b/>
                <w:noProof/>
              </w:rPr>
              <w:t>5</w:t>
            </w:r>
            <w:r w:rsidR="00163A94">
              <w:rPr>
                <w:b/>
              </w:rPr>
              <w:fldChar w:fldCharType="end"/>
            </w:r>
          </w:p>
        </w:sdtContent>
      </w:sdt>
    </w:sdtContent>
  </w:sdt>
  <w:p w:rsidR="00781CDB" w:rsidRDefault="00781C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E2C" w:rsidRDefault="00B56E2C" w:rsidP="00CB37E8">
      <w:r>
        <w:separator/>
      </w:r>
    </w:p>
  </w:footnote>
  <w:footnote w:type="continuationSeparator" w:id="0">
    <w:p w:rsidR="00B56E2C" w:rsidRDefault="00B56E2C" w:rsidP="00CB3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DB" w:rsidRDefault="00781CDB">
    <w:pPr>
      <w:pStyle w:val="Encabezado"/>
    </w:pPr>
  </w:p>
  <w:tbl>
    <w:tblPr>
      <w:tblStyle w:val="Tablaconcuadrcula"/>
      <w:tblpPr w:leftFromText="141" w:rightFromText="141" w:vertAnchor="text" w:horzAnchor="margin" w:tblpY="-817"/>
      <w:tblW w:w="5000" w:type="pct"/>
      <w:tblLook w:val="04A0"/>
    </w:tblPr>
    <w:tblGrid>
      <w:gridCol w:w="2165"/>
      <w:gridCol w:w="1165"/>
      <w:gridCol w:w="1422"/>
      <w:gridCol w:w="2016"/>
      <w:gridCol w:w="2288"/>
    </w:tblGrid>
    <w:tr w:rsidR="00781CDB" w:rsidTr="007A5DCE">
      <w:trPr>
        <w:trHeight w:val="410"/>
      </w:trPr>
      <w:tc>
        <w:tcPr>
          <w:tcW w:w="1196" w:type="pct"/>
          <w:vMerge w:val="restart"/>
        </w:tcPr>
        <w:p w:rsidR="00781CDB" w:rsidRDefault="00781CDB" w:rsidP="007A5DCE">
          <w:pPr>
            <w:rPr>
              <w:sz w:val="10"/>
            </w:rPr>
          </w:pPr>
        </w:p>
        <w:p w:rsidR="00781CDB" w:rsidRDefault="00781CDB" w:rsidP="007A5DCE">
          <w:pPr>
            <w:rPr>
              <w:rFonts w:ascii="Arial" w:hAnsi="Arial" w:cs="Arial"/>
              <w:sz w:val="12"/>
            </w:rPr>
          </w:pPr>
        </w:p>
        <w:p w:rsidR="00781CDB" w:rsidRDefault="00781CDB" w:rsidP="007A5DCE">
          <w:pPr>
            <w:rPr>
              <w:rFonts w:ascii="Arial" w:hAnsi="Arial" w:cs="Arial"/>
              <w:sz w:val="12"/>
            </w:rPr>
          </w:pPr>
        </w:p>
        <w:p w:rsidR="00781CDB" w:rsidRDefault="00781CDB" w:rsidP="007A5DCE">
          <w:pPr>
            <w:rPr>
              <w:rFonts w:ascii="Arial" w:hAnsi="Arial" w:cs="Arial"/>
              <w:sz w:val="12"/>
            </w:rPr>
          </w:pPr>
        </w:p>
        <w:p w:rsidR="00781CDB" w:rsidRDefault="00781CDB" w:rsidP="007A5DCE">
          <w:pPr>
            <w:rPr>
              <w:rFonts w:ascii="Arial" w:hAnsi="Arial" w:cs="Arial"/>
              <w:sz w:val="12"/>
            </w:rPr>
          </w:pPr>
        </w:p>
        <w:p w:rsidR="00781CDB" w:rsidRDefault="00781CDB" w:rsidP="007A5DCE">
          <w:pPr>
            <w:rPr>
              <w:rFonts w:ascii="Arial" w:hAnsi="Arial" w:cs="Arial"/>
              <w:sz w:val="12"/>
            </w:rPr>
          </w:pPr>
        </w:p>
        <w:p w:rsidR="00781CDB" w:rsidRDefault="00781CDB" w:rsidP="007A5DCE">
          <w:pPr>
            <w:rPr>
              <w:rFonts w:ascii="Arial" w:hAnsi="Arial" w:cs="Arial"/>
              <w:sz w:val="12"/>
            </w:rPr>
          </w:pPr>
        </w:p>
        <w:p w:rsidR="00CE36E0" w:rsidRDefault="00CE36E0" w:rsidP="00CE36E0">
          <w:pPr>
            <w:rPr>
              <w:rFonts w:ascii="Arial" w:hAnsi="Arial" w:cs="Arial"/>
              <w:sz w:val="12"/>
            </w:rPr>
          </w:pPr>
        </w:p>
        <w:p w:rsidR="00CE36E0" w:rsidRDefault="00CE36E0" w:rsidP="00CE36E0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  <w:lang w:val="es-MX" w:eastAsia="es-MX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-524510</wp:posOffset>
                </wp:positionV>
                <wp:extent cx="464820" cy="463550"/>
                <wp:effectExtent l="19050" t="0" r="0" b="0"/>
                <wp:wrapSquare wrapText="bothSides"/>
                <wp:docPr id="15" name="Imagen 2" descr="logo uni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CE36E0" w:rsidRDefault="00CE36E0" w:rsidP="00CE36E0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781CDB" w:rsidRPr="00DB53D2" w:rsidRDefault="00CE36E0" w:rsidP="00CE36E0">
          <w:pPr>
            <w:jc w:val="center"/>
            <w:rPr>
              <w:sz w:val="10"/>
            </w:rPr>
          </w:pPr>
          <w:r w:rsidRPr="00803517">
            <w:rPr>
              <w:rFonts w:ascii="Arial" w:hAnsi="Arial" w:cs="Arial"/>
              <w:sz w:val="12"/>
            </w:rPr>
            <w:t>UANL</w:t>
          </w:r>
        </w:p>
      </w:tc>
      <w:tc>
        <w:tcPr>
          <w:tcW w:w="3804" w:type="pct"/>
          <w:gridSpan w:val="4"/>
        </w:tcPr>
        <w:p w:rsidR="00781CDB" w:rsidRDefault="00781CDB" w:rsidP="005F4C12">
          <w:r>
            <w:rPr>
              <w:rFonts w:ascii="Arial" w:hAnsi="Arial" w:cs="Arial"/>
              <w:b/>
              <w:caps/>
              <w:lang w:val="es-MX"/>
            </w:rPr>
            <w:t xml:space="preserve">SOP:         </w:t>
          </w:r>
          <w:r>
            <w:rPr>
              <w:rFonts w:ascii="Arial" w:hAnsi="Arial" w:cs="Arial"/>
              <w:b/>
              <w:caps/>
              <w:szCs w:val="18"/>
            </w:rPr>
            <w:t xml:space="preserve"> EXENCIONES</w:t>
          </w:r>
        </w:p>
      </w:tc>
    </w:tr>
    <w:tr w:rsidR="00781CDB" w:rsidTr="007A5DCE">
      <w:trPr>
        <w:trHeight w:val="343"/>
      </w:trPr>
      <w:tc>
        <w:tcPr>
          <w:tcW w:w="1196" w:type="pct"/>
          <w:vMerge/>
        </w:tcPr>
        <w:p w:rsidR="00781CDB" w:rsidRDefault="00781CDB" w:rsidP="007A5DCE"/>
      </w:tc>
      <w:tc>
        <w:tcPr>
          <w:tcW w:w="643" w:type="pct"/>
        </w:tcPr>
        <w:p w:rsidR="00781CDB" w:rsidRPr="00803517" w:rsidRDefault="003121BB" w:rsidP="007A5DCE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Nú</w:t>
          </w:r>
          <w:r w:rsidR="00781CDB" w:rsidRPr="00803517">
            <w:rPr>
              <w:rFonts w:ascii="Arial" w:hAnsi="Arial" w:cs="Arial"/>
              <w:sz w:val="16"/>
            </w:rPr>
            <w:t>mero</w:t>
          </w:r>
        </w:p>
      </w:tc>
      <w:tc>
        <w:tcPr>
          <w:tcW w:w="785" w:type="pct"/>
        </w:tcPr>
        <w:p w:rsidR="00781CDB" w:rsidRPr="00803517" w:rsidRDefault="00781CDB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781CDB" w:rsidRPr="00803517" w:rsidRDefault="00781CDB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781CDB" w:rsidRPr="00803517" w:rsidRDefault="00781CDB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781CDB" w:rsidTr="007A5DCE">
      <w:trPr>
        <w:trHeight w:val="544"/>
      </w:trPr>
      <w:tc>
        <w:tcPr>
          <w:tcW w:w="1196" w:type="pct"/>
          <w:vMerge/>
        </w:tcPr>
        <w:p w:rsidR="00781CDB" w:rsidRDefault="00781CDB" w:rsidP="007A5DCE"/>
      </w:tc>
      <w:tc>
        <w:tcPr>
          <w:tcW w:w="643" w:type="pct"/>
        </w:tcPr>
        <w:p w:rsidR="00781CDB" w:rsidRDefault="00781CDB" w:rsidP="005F4C1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IC-702</w:t>
          </w:r>
        </w:p>
        <w:p w:rsidR="00570481" w:rsidRPr="00803517" w:rsidRDefault="00CE36E0" w:rsidP="005F4C1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 04</w:t>
          </w:r>
        </w:p>
      </w:tc>
      <w:tc>
        <w:tcPr>
          <w:tcW w:w="785" w:type="pct"/>
        </w:tcPr>
        <w:p w:rsidR="00781CDB" w:rsidRPr="00803517" w:rsidRDefault="00CE36E0" w:rsidP="00CE36E0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Febrero, 2016</w:t>
          </w:r>
        </w:p>
      </w:tc>
      <w:tc>
        <w:tcPr>
          <w:tcW w:w="1113" w:type="pct"/>
        </w:tcPr>
        <w:p w:rsidR="00781CDB" w:rsidRPr="00803517" w:rsidRDefault="00781CDB" w:rsidP="003121BB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</w:t>
          </w:r>
          <w:r w:rsidR="003121BB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Hern</w:t>
          </w:r>
          <w:r w:rsidR="003121BB">
            <w:rPr>
              <w:rFonts w:ascii="Arial" w:hAnsi="Arial" w:cs="Arial"/>
              <w:sz w:val="20"/>
              <w:szCs w:val="20"/>
            </w:rPr>
            <w:t>á</w:t>
          </w:r>
          <w:r>
            <w:rPr>
              <w:rFonts w:ascii="Arial" w:hAnsi="Arial" w:cs="Arial"/>
              <w:sz w:val="20"/>
              <w:szCs w:val="20"/>
            </w:rPr>
            <w:t>ndez, V.</w:t>
          </w:r>
          <w:r w:rsidR="003121BB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Gómez, J. Garza</w:t>
          </w:r>
          <w:r w:rsidR="00CE36E0">
            <w:rPr>
              <w:rFonts w:ascii="Arial" w:hAnsi="Arial" w:cs="Arial"/>
              <w:sz w:val="20"/>
              <w:szCs w:val="20"/>
            </w:rPr>
            <w:t>, A. Carlos</w:t>
          </w:r>
        </w:p>
      </w:tc>
      <w:tc>
        <w:tcPr>
          <w:tcW w:w="1262" w:type="pct"/>
        </w:tcPr>
        <w:p w:rsidR="00781CDB" w:rsidRPr="00803517" w:rsidRDefault="00781CDB" w:rsidP="003121BB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J.</w:t>
          </w:r>
          <w:r w:rsidR="003121BB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G.</w:t>
          </w:r>
          <w:r w:rsidR="003121BB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Gonz</w:t>
          </w:r>
          <w:r w:rsidR="003121BB">
            <w:rPr>
              <w:rFonts w:ascii="Arial" w:hAnsi="Arial" w:cs="Arial"/>
              <w:sz w:val="20"/>
              <w:szCs w:val="20"/>
            </w:rPr>
            <w:t>á</w:t>
          </w:r>
          <w:r>
            <w:rPr>
              <w:rFonts w:ascii="Arial" w:hAnsi="Arial" w:cs="Arial"/>
              <w:sz w:val="20"/>
              <w:szCs w:val="20"/>
            </w:rPr>
            <w:t>lez</w:t>
          </w:r>
        </w:p>
      </w:tc>
    </w:tr>
  </w:tbl>
  <w:p w:rsidR="00781CDB" w:rsidRDefault="00781CDB">
    <w:pPr>
      <w:pStyle w:val="Encabezado"/>
    </w:pPr>
  </w:p>
  <w:p w:rsidR="00781CDB" w:rsidRDefault="00781CD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1ED"/>
    <w:multiLevelType w:val="multilevel"/>
    <w:tmpl w:val="49C0A5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360"/>
      </w:pPr>
    </w:lvl>
    <w:lvl w:ilvl="2">
      <w:start w:val="1"/>
      <w:numFmt w:val="decimal"/>
      <w:lvlText w:val="%1.%2.%3"/>
      <w:lvlJc w:val="left"/>
      <w:pPr>
        <w:tabs>
          <w:tab w:val="num" w:pos="1272"/>
        </w:tabs>
        <w:ind w:left="1272" w:hanging="720"/>
      </w:p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1080"/>
      </w:p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1080"/>
      </w:p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096"/>
        </w:tabs>
        <w:ind w:left="30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32"/>
        </w:tabs>
        <w:ind w:left="373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008"/>
        </w:tabs>
        <w:ind w:left="4008" w:hanging="1800"/>
      </w:pPr>
    </w:lvl>
  </w:abstractNum>
  <w:abstractNum w:abstractNumId="1">
    <w:nsid w:val="2058105A"/>
    <w:multiLevelType w:val="hybridMultilevel"/>
    <w:tmpl w:val="BA2EFBE6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B6187C"/>
    <w:multiLevelType w:val="hybridMultilevel"/>
    <w:tmpl w:val="0F6E3F46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77A06"/>
    <w:multiLevelType w:val="hybridMultilevel"/>
    <w:tmpl w:val="E0A48B5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9B30A5"/>
    <w:multiLevelType w:val="hybridMultilevel"/>
    <w:tmpl w:val="C94E47F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FF217E"/>
    <w:multiLevelType w:val="multilevel"/>
    <w:tmpl w:val="28E40B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360"/>
      </w:pPr>
    </w:lvl>
    <w:lvl w:ilvl="2">
      <w:start w:val="3"/>
      <w:numFmt w:val="decimal"/>
      <w:lvlText w:val="%1.%2.%3"/>
      <w:lvlJc w:val="left"/>
      <w:pPr>
        <w:tabs>
          <w:tab w:val="num" w:pos="1710"/>
        </w:tabs>
        <w:ind w:left="1710" w:hanging="720"/>
      </w:p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800"/>
      </w:pPr>
    </w:lvl>
  </w:abstractNum>
  <w:abstractNum w:abstractNumId="6">
    <w:nsid w:val="61E901D6"/>
    <w:multiLevelType w:val="hybridMultilevel"/>
    <w:tmpl w:val="493AB8F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46120E5"/>
    <w:multiLevelType w:val="hybridMultilevel"/>
    <w:tmpl w:val="4E102690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C00B6"/>
    <w:multiLevelType w:val="hybridMultilevel"/>
    <w:tmpl w:val="89946C92"/>
    <w:lvl w:ilvl="0" w:tplc="FFFFFFFF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  <w:lang w:val="es-MX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557DC"/>
    <w:rsid w:val="00030A6B"/>
    <w:rsid w:val="000319E2"/>
    <w:rsid w:val="00052EBE"/>
    <w:rsid w:val="000C15D7"/>
    <w:rsid w:val="000C17A5"/>
    <w:rsid w:val="000C22EF"/>
    <w:rsid w:val="000D6C2D"/>
    <w:rsid w:val="000D70EE"/>
    <w:rsid w:val="000E2452"/>
    <w:rsid w:val="0011116D"/>
    <w:rsid w:val="00137D71"/>
    <w:rsid w:val="00160AFA"/>
    <w:rsid w:val="00163A94"/>
    <w:rsid w:val="00181686"/>
    <w:rsid w:val="0018311D"/>
    <w:rsid w:val="001B213D"/>
    <w:rsid w:val="001B51F6"/>
    <w:rsid w:val="001C0FC1"/>
    <w:rsid w:val="001C7CF9"/>
    <w:rsid w:val="001E29E8"/>
    <w:rsid w:val="00215A4B"/>
    <w:rsid w:val="00241566"/>
    <w:rsid w:val="002472B1"/>
    <w:rsid w:val="00256156"/>
    <w:rsid w:val="00260BE7"/>
    <w:rsid w:val="00277294"/>
    <w:rsid w:val="0028037A"/>
    <w:rsid w:val="002C7153"/>
    <w:rsid w:val="002D6459"/>
    <w:rsid w:val="002E2FEC"/>
    <w:rsid w:val="003121BB"/>
    <w:rsid w:val="003311D2"/>
    <w:rsid w:val="00335ADD"/>
    <w:rsid w:val="0034216B"/>
    <w:rsid w:val="00360510"/>
    <w:rsid w:val="003711D6"/>
    <w:rsid w:val="003B761F"/>
    <w:rsid w:val="003D3DE3"/>
    <w:rsid w:val="003D4494"/>
    <w:rsid w:val="00422E36"/>
    <w:rsid w:val="004461FD"/>
    <w:rsid w:val="00446CBC"/>
    <w:rsid w:val="004B18FB"/>
    <w:rsid w:val="004B2D5B"/>
    <w:rsid w:val="004C421F"/>
    <w:rsid w:val="004D0E0B"/>
    <w:rsid w:val="004D1894"/>
    <w:rsid w:val="004D658C"/>
    <w:rsid w:val="004E2E38"/>
    <w:rsid w:val="004F7D7A"/>
    <w:rsid w:val="005247C2"/>
    <w:rsid w:val="00570481"/>
    <w:rsid w:val="005A0CB4"/>
    <w:rsid w:val="005E10C3"/>
    <w:rsid w:val="005F4C12"/>
    <w:rsid w:val="005F6E91"/>
    <w:rsid w:val="00621DE6"/>
    <w:rsid w:val="006401B4"/>
    <w:rsid w:val="0065029A"/>
    <w:rsid w:val="0066775B"/>
    <w:rsid w:val="006E0180"/>
    <w:rsid w:val="006E6C5B"/>
    <w:rsid w:val="006F054A"/>
    <w:rsid w:val="00704B93"/>
    <w:rsid w:val="007338DF"/>
    <w:rsid w:val="007557DC"/>
    <w:rsid w:val="0076779E"/>
    <w:rsid w:val="00772EED"/>
    <w:rsid w:val="00781CDB"/>
    <w:rsid w:val="00782F3B"/>
    <w:rsid w:val="007A41ED"/>
    <w:rsid w:val="007A5DCE"/>
    <w:rsid w:val="007C3E91"/>
    <w:rsid w:val="00803517"/>
    <w:rsid w:val="00830631"/>
    <w:rsid w:val="0083617A"/>
    <w:rsid w:val="00845A36"/>
    <w:rsid w:val="0084626A"/>
    <w:rsid w:val="008462C9"/>
    <w:rsid w:val="00852A62"/>
    <w:rsid w:val="00855698"/>
    <w:rsid w:val="0086296D"/>
    <w:rsid w:val="00887F05"/>
    <w:rsid w:val="008A07E7"/>
    <w:rsid w:val="008A1BE2"/>
    <w:rsid w:val="008A3972"/>
    <w:rsid w:val="008A4842"/>
    <w:rsid w:val="008D4414"/>
    <w:rsid w:val="008E2BE0"/>
    <w:rsid w:val="008E61DA"/>
    <w:rsid w:val="009159FF"/>
    <w:rsid w:val="009160CA"/>
    <w:rsid w:val="00942695"/>
    <w:rsid w:val="00944418"/>
    <w:rsid w:val="00953A18"/>
    <w:rsid w:val="00976FD3"/>
    <w:rsid w:val="00984175"/>
    <w:rsid w:val="00985FCE"/>
    <w:rsid w:val="00996206"/>
    <w:rsid w:val="009C37B1"/>
    <w:rsid w:val="009C4C4B"/>
    <w:rsid w:val="00A21B21"/>
    <w:rsid w:val="00A3189B"/>
    <w:rsid w:val="00A56AC2"/>
    <w:rsid w:val="00AA4F0A"/>
    <w:rsid w:val="00AB5F01"/>
    <w:rsid w:val="00AD7C71"/>
    <w:rsid w:val="00AF5E88"/>
    <w:rsid w:val="00B50A97"/>
    <w:rsid w:val="00B5310A"/>
    <w:rsid w:val="00B56E2C"/>
    <w:rsid w:val="00B847D5"/>
    <w:rsid w:val="00BB71D1"/>
    <w:rsid w:val="00C13F93"/>
    <w:rsid w:val="00C63C3C"/>
    <w:rsid w:val="00C853E2"/>
    <w:rsid w:val="00C87FFE"/>
    <w:rsid w:val="00C977E7"/>
    <w:rsid w:val="00CA3D17"/>
    <w:rsid w:val="00CB37E8"/>
    <w:rsid w:val="00CC79A3"/>
    <w:rsid w:val="00CE36E0"/>
    <w:rsid w:val="00D1619F"/>
    <w:rsid w:val="00D21E35"/>
    <w:rsid w:val="00D44992"/>
    <w:rsid w:val="00D60FD5"/>
    <w:rsid w:val="00D82507"/>
    <w:rsid w:val="00D8488F"/>
    <w:rsid w:val="00DA0186"/>
    <w:rsid w:val="00DB53D2"/>
    <w:rsid w:val="00DD6A74"/>
    <w:rsid w:val="00DF4E31"/>
    <w:rsid w:val="00E20FE0"/>
    <w:rsid w:val="00E237A1"/>
    <w:rsid w:val="00E32601"/>
    <w:rsid w:val="00E434E3"/>
    <w:rsid w:val="00E67A9D"/>
    <w:rsid w:val="00E73033"/>
    <w:rsid w:val="00E81964"/>
    <w:rsid w:val="00E8680A"/>
    <w:rsid w:val="00EA2201"/>
    <w:rsid w:val="00EB6C9D"/>
    <w:rsid w:val="00EC0A2B"/>
    <w:rsid w:val="00EE0251"/>
    <w:rsid w:val="00F11BB4"/>
    <w:rsid w:val="00F167D2"/>
    <w:rsid w:val="00F21FAA"/>
    <w:rsid w:val="00F2495B"/>
    <w:rsid w:val="00F63683"/>
    <w:rsid w:val="00F73169"/>
    <w:rsid w:val="00F745F2"/>
    <w:rsid w:val="00F8705B"/>
    <w:rsid w:val="00FA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List-Level2">
    <w:name w:val="List -Level 2"/>
    <w:basedOn w:val="Normal"/>
    <w:next w:val="Normal"/>
    <w:rsid w:val="00AA4F0A"/>
    <w:pPr>
      <w:widowControl w:val="0"/>
      <w:autoSpaceDE w:val="0"/>
      <w:autoSpaceDN w:val="0"/>
      <w:adjustRightInd w:val="0"/>
      <w:snapToGrid w:val="0"/>
      <w:spacing w:after="60"/>
      <w:ind w:left="1440" w:hanging="360"/>
    </w:pPr>
    <w:rPr>
      <w:rFonts w:ascii="Arial" w:hAnsi="Arial" w:cs="Arial"/>
      <w:sz w:val="22"/>
      <w:szCs w:val="20"/>
      <w:lang w:val="en-US" w:eastAsia="en-US"/>
    </w:rPr>
  </w:style>
  <w:style w:type="paragraph" w:styleId="Textodebloque">
    <w:name w:val="Block Text"/>
    <w:aliases w:val="2nd level"/>
    <w:basedOn w:val="Normal"/>
    <w:semiHidden/>
    <w:rsid w:val="005F4C12"/>
    <w:pPr>
      <w:widowControl w:val="0"/>
      <w:autoSpaceDE w:val="0"/>
      <w:autoSpaceDN w:val="0"/>
      <w:adjustRightInd w:val="0"/>
      <w:spacing w:after="120"/>
      <w:ind w:left="360" w:hanging="360"/>
    </w:pPr>
    <w:rPr>
      <w:rFonts w:ascii="Arial" w:hAnsi="Arial" w:cs="Arial"/>
      <w:bCs/>
      <w:sz w:val="22"/>
      <w:szCs w:val="20"/>
      <w:lang w:val="en-US" w:eastAsia="en-US"/>
    </w:rPr>
  </w:style>
  <w:style w:type="paragraph" w:customStyle="1" w:styleId="3rdlevel">
    <w:name w:val="3rd level (#)"/>
    <w:basedOn w:val="Normal"/>
    <w:rsid w:val="005F4C12"/>
    <w:pPr>
      <w:spacing w:after="60"/>
      <w:ind w:left="720" w:hanging="360"/>
    </w:pPr>
    <w:rPr>
      <w:rFonts w:ascii="Arial" w:hAnsi="Arial" w:cs="Arial"/>
      <w:bCs/>
      <w:sz w:val="22"/>
      <w:szCs w:val="20"/>
      <w:lang w:val="en-US" w:eastAsia="en-US"/>
    </w:rPr>
  </w:style>
  <w:style w:type="paragraph" w:styleId="Remitedesobre">
    <w:name w:val="envelope return"/>
    <w:basedOn w:val="Normal"/>
    <w:semiHidden/>
    <w:rsid w:val="005F4C12"/>
    <w:rPr>
      <w:rFonts w:ascii="Arial" w:hAnsi="Arial" w:cs="Arial"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decuerpo">
    <w:name w:val="Body Text"/>
    <w:basedOn w:val="Normal"/>
    <w:link w:val="Textodecuerpo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decuerpoCar">
    <w:name w:val="Texto de cuerpo Car"/>
    <w:basedOn w:val="Fuentedeprrafopredeter"/>
    <w:link w:val="Textodecuerpo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decuerpo">
    <w:name w:val="Body Text Indent 3"/>
    <w:basedOn w:val="Normal"/>
    <w:link w:val="Sangra3detdecuerpo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decuerpo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decuerpo">
    <w:name w:val="Body Text Indent"/>
    <w:basedOn w:val="Normal"/>
    <w:link w:val="Sangradetdecuerpo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decuerpo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List-Level2">
    <w:name w:val="List -Level 2"/>
    <w:basedOn w:val="Normal"/>
    <w:next w:val="Normal"/>
    <w:rsid w:val="00AA4F0A"/>
    <w:pPr>
      <w:widowControl w:val="0"/>
      <w:autoSpaceDE w:val="0"/>
      <w:autoSpaceDN w:val="0"/>
      <w:adjustRightInd w:val="0"/>
      <w:snapToGrid w:val="0"/>
      <w:spacing w:after="60"/>
      <w:ind w:left="1440" w:hanging="360"/>
    </w:pPr>
    <w:rPr>
      <w:rFonts w:ascii="Arial" w:hAnsi="Arial" w:cs="Arial"/>
      <w:sz w:val="22"/>
      <w:szCs w:val="20"/>
      <w:lang w:val="en-US" w:eastAsia="en-US"/>
    </w:rPr>
  </w:style>
  <w:style w:type="paragraph" w:styleId="Textodebloque">
    <w:name w:val="Block Text"/>
    <w:aliases w:val="2nd level"/>
    <w:basedOn w:val="Normal"/>
    <w:semiHidden/>
    <w:rsid w:val="005F4C12"/>
    <w:pPr>
      <w:widowControl w:val="0"/>
      <w:autoSpaceDE w:val="0"/>
      <w:autoSpaceDN w:val="0"/>
      <w:adjustRightInd w:val="0"/>
      <w:spacing w:after="120"/>
      <w:ind w:left="360" w:hanging="360"/>
    </w:pPr>
    <w:rPr>
      <w:rFonts w:ascii="Arial" w:hAnsi="Arial" w:cs="Arial"/>
      <w:bCs/>
      <w:sz w:val="22"/>
      <w:szCs w:val="20"/>
      <w:lang w:val="en-US" w:eastAsia="en-US"/>
    </w:rPr>
  </w:style>
  <w:style w:type="paragraph" w:customStyle="1" w:styleId="3rdlevel">
    <w:name w:val="3rd level (#)"/>
    <w:basedOn w:val="Normal"/>
    <w:rsid w:val="005F4C12"/>
    <w:pPr>
      <w:spacing w:after="60"/>
      <w:ind w:left="720" w:hanging="360"/>
    </w:pPr>
    <w:rPr>
      <w:rFonts w:ascii="Arial" w:hAnsi="Arial" w:cs="Arial"/>
      <w:bCs/>
      <w:sz w:val="22"/>
      <w:szCs w:val="20"/>
      <w:lang w:val="en-US" w:eastAsia="en-US"/>
    </w:rPr>
  </w:style>
  <w:style w:type="paragraph" w:styleId="Remitedesobre">
    <w:name w:val="envelope return"/>
    <w:basedOn w:val="Normal"/>
    <w:semiHidden/>
    <w:rsid w:val="005F4C12"/>
    <w:rPr>
      <w:rFonts w:ascii="Arial" w:hAnsi="Arial" w:cs="Arial"/>
      <w:b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8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164686">
                                      <w:marLeft w:val="7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05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77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8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5629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74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RegulatoryInformation/Guidances/ucm126482.ht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D4FA-05F8-4FC9-9632-0397930D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1216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Annie Carlos</cp:lastModifiedBy>
  <cp:revision>3</cp:revision>
  <cp:lastPrinted>2011-08-12T20:05:00Z</cp:lastPrinted>
  <dcterms:created xsi:type="dcterms:W3CDTF">2013-12-19T23:10:00Z</dcterms:created>
  <dcterms:modified xsi:type="dcterms:W3CDTF">2016-02-15T15:44:00Z</dcterms:modified>
</cp:coreProperties>
</file>