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Default="00F11BB4" w:rsidP="00DB53D2">
      <w:pPr>
        <w:jc w:val="both"/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I. PROPÓSITO</w:t>
      </w:r>
    </w:p>
    <w:p w:rsidR="000F385F" w:rsidRPr="00803517" w:rsidRDefault="000F385F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ind w:firstLine="708"/>
        <w:jc w:val="both"/>
        <w:rPr>
          <w:rFonts w:ascii="Arial" w:hAnsi="Arial" w:cs="Arial"/>
        </w:rPr>
      </w:pPr>
      <w:r w:rsidRPr="00803517">
        <w:rPr>
          <w:rFonts w:ascii="Arial" w:hAnsi="Arial" w:cs="Arial"/>
        </w:rPr>
        <w:t>I.1.</w:t>
      </w:r>
      <w:r w:rsidR="00E67A9D">
        <w:rPr>
          <w:rFonts w:ascii="Arial" w:hAnsi="Arial" w:cs="Arial"/>
        </w:rPr>
        <w:t>Proporcionar un marco legal, ético y científico para la investigación</w:t>
      </w:r>
      <w:r w:rsidR="003E56E0">
        <w:rPr>
          <w:rFonts w:ascii="Arial" w:hAnsi="Arial" w:cs="Arial"/>
        </w:rPr>
        <w:t>,</w:t>
      </w:r>
      <w:r w:rsidR="00E67A9D">
        <w:rPr>
          <w:rFonts w:ascii="Arial" w:hAnsi="Arial" w:cs="Arial"/>
        </w:rPr>
        <w:t xml:space="preserve"> a trav</w:t>
      </w:r>
      <w:r w:rsidR="003E56E0">
        <w:rPr>
          <w:rFonts w:ascii="Arial" w:hAnsi="Arial" w:cs="Arial"/>
        </w:rPr>
        <w:t>és de un Manual de Políticas y Procedimientos de Operación E</w:t>
      </w:r>
      <w:r w:rsidR="00E67A9D">
        <w:rPr>
          <w:rFonts w:ascii="Arial" w:hAnsi="Arial" w:cs="Arial"/>
        </w:rPr>
        <w:t>stándar.</w:t>
      </w:r>
    </w:p>
    <w:p w:rsidR="00CB37E8" w:rsidRDefault="00E67A9D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I.2. Definir el proceso de revi</w:t>
      </w:r>
      <w:r w:rsidR="003E56E0">
        <w:rPr>
          <w:rFonts w:ascii="Arial" w:hAnsi="Arial" w:cs="Arial"/>
        </w:rPr>
        <w:t>sión del Manual de Políticas y Procedimientos de O</w:t>
      </w:r>
      <w:r>
        <w:rPr>
          <w:rFonts w:ascii="Arial" w:hAnsi="Arial" w:cs="Arial"/>
        </w:rPr>
        <w:t xml:space="preserve">peración </w:t>
      </w:r>
      <w:r w:rsidR="003E56E0">
        <w:rPr>
          <w:rFonts w:ascii="Arial" w:hAnsi="Arial" w:cs="Arial"/>
        </w:rPr>
        <w:t>E</w:t>
      </w:r>
      <w:r>
        <w:rPr>
          <w:rFonts w:ascii="Arial" w:hAnsi="Arial" w:cs="Arial"/>
        </w:rPr>
        <w:t>stándar.</w:t>
      </w:r>
    </w:p>
    <w:p w:rsidR="00FD14EA" w:rsidRDefault="00FD14EA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3E56E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Definir el proceso </w:t>
      </w:r>
      <w:r w:rsidR="003E56E0">
        <w:rPr>
          <w:rFonts w:ascii="Arial" w:hAnsi="Arial" w:cs="Arial"/>
        </w:rPr>
        <w:t>para notificar a</w:t>
      </w:r>
      <w:r>
        <w:rPr>
          <w:rFonts w:ascii="Arial" w:hAnsi="Arial" w:cs="Arial"/>
        </w:rPr>
        <w:t xml:space="preserve"> investigadores, </w:t>
      </w:r>
      <w:r w:rsidR="00C77431">
        <w:rPr>
          <w:rFonts w:ascii="Arial" w:hAnsi="Arial" w:cs="Arial"/>
        </w:rPr>
        <w:t>personal administrativo</w:t>
      </w:r>
      <w:r w:rsidR="009730F3">
        <w:rPr>
          <w:rFonts w:ascii="Arial" w:hAnsi="Arial" w:cs="Arial"/>
        </w:rPr>
        <w:t xml:space="preserve">, </w:t>
      </w:r>
      <w:r w:rsidR="00C77431">
        <w:rPr>
          <w:rFonts w:ascii="Arial" w:hAnsi="Arial" w:cs="Arial"/>
        </w:rPr>
        <w:t>y patrocinadores</w:t>
      </w:r>
      <w:r w:rsidR="003E56E0">
        <w:rPr>
          <w:rFonts w:ascii="Arial" w:hAnsi="Arial" w:cs="Arial"/>
        </w:rPr>
        <w:t xml:space="preserve"> de la di</w:t>
      </w:r>
      <w:r>
        <w:rPr>
          <w:rFonts w:ascii="Arial" w:hAnsi="Arial" w:cs="Arial"/>
        </w:rPr>
        <w:t>sponibilidad de estas políticas y procedimientos.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II. REVISIONES DE VERSIONES PREVIAS</w:t>
      </w:r>
    </w:p>
    <w:p w:rsidR="000F385F" w:rsidRDefault="000F385F" w:rsidP="00DB53D2">
      <w:pPr>
        <w:jc w:val="both"/>
        <w:rPr>
          <w:rFonts w:ascii="Arial" w:hAnsi="Arial" w:cs="Arial"/>
          <w:b/>
        </w:rPr>
      </w:pPr>
    </w:p>
    <w:p w:rsidR="00803517" w:rsidRPr="008A1BE2" w:rsidRDefault="00EF2039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Versión 4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III. POLÍTICAS</w:t>
      </w:r>
    </w:p>
    <w:p w:rsidR="000F385F" w:rsidRPr="00803517" w:rsidRDefault="000F385F" w:rsidP="00DB53D2">
      <w:pPr>
        <w:jc w:val="both"/>
        <w:rPr>
          <w:rFonts w:ascii="Arial" w:hAnsi="Arial" w:cs="Arial"/>
          <w:b/>
        </w:rPr>
      </w:pPr>
    </w:p>
    <w:p w:rsidR="00E67A9D" w:rsidRDefault="00E67A9D" w:rsidP="00E67A9D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Acorde a las regulaciones descritas en la Ley General de Salud en Materia de Investigación de los Estados Unidos Mexicanos</w:t>
      </w:r>
      <w:r w:rsidR="003E56E0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a través de la Norma Técnica 315 y </w:t>
      </w:r>
      <w:r w:rsidR="003E56E0">
        <w:rPr>
          <w:rFonts w:ascii="Arial" w:hAnsi="Arial" w:cs="Arial"/>
          <w:lang w:val="es-MX"/>
        </w:rPr>
        <w:t>lineamientos</w:t>
      </w:r>
      <w:r>
        <w:rPr>
          <w:rFonts w:ascii="Arial" w:hAnsi="Arial" w:cs="Arial"/>
          <w:lang w:val="es-MX"/>
        </w:rPr>
        <w:t xml:space="preserve"> de la OHRP, la FDA, y la Conferencia Internacional sobre Armonización (ICH), apoyadas por políticas institucionales, se asegura de que los derechos y el bienestar de los seres humanos </w:t>
      </w:r>
      <w:r w:rsidR="008E06B4">
        <w:rPr>
          <w:rFonts w:ascii="Arial" w:hAnsi="Arial" w:cs="Arial"/>
          <w:lang w:val="es-MX"/>
        </w:rPr>
        <w:t>en</w:t>
      </w:r>
      <w:r>
        <w:rPr>
          <w:rFonts w:ascii="Arial" w:hAnsi="Arial" w:cs="Arial"/>
          <w:lang w:val="es-MX"/>
        </w:rPr>
        <w:t xml:space="preserve"> investigación serán supervisados y protegidos de una manera uniforme, sin importar el cambio en el personal. Los procedimientos escritos deben estar </w:t>
      </w:r>
      <w:r w:rsidR="008E06B4">
        <w:rPr>
          <w:rFonts w:ascii="Arial" w:hAnsi="Arial" w:cs="Arial"/>
          <w:lang w:val="es-MX"/>
        </w:rPr>
        <w:t>disponibles</w:t>
      </w:r>
      <w:r>
        <w:rPr>
          <w:rFonts w:ascii="Arial" w:hAnsi="Arial" w:cs="Arial"/>
          <w:lang w:val="es-MX"/>
        </w:rPr>
        <w:t xml:space="preserve"> para asegurar la más alta calidad e integridad en la revisión y vigilancia de la investigación que implique seres humanos y para la adecuada documentación de tales vigilancias.</w:t>
      </w:r>
    </w:p>
    <w:p w:rsidR="00E67A9D" w:rsidRDefault="00E67A9D" w:rsidP="00E67A9D">
      <w:pPr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Manual de</w:t>
      </w:r>
      <w:r w:rsidR="008E06B4">
        <w:rPr>
          <w:rFonts w:ascii="Arial" w:hAnsi="Arial" w:cs="Arial"/>
          <w:lang w:val="es-MX"/>
        </w:rPr>
        <w:t xml:space="preserve"> Políticas y Procedimientos de Operación E</w:t>
      </w:r>
      <w:r>
        <w:rPr>
          <w:rFonts w:ascii="Arial" w:hAnsi="Arial" w:cs="Arial"/>
          <w:lang w:val="es-MX"/>
        </w:rPr>
        <w:t>stándar (</w:t>
      </w:r>
      <w:proofErr w:type="spellStart"/>
      <w:r>
        <w:rPr>
          <w:rFonts w:ascii="Arial" w:hAnsi="Arial" w:cs="Arial"/>
          <w:lang w:val="es-MX"/>
        </w:rPr>
        <w:t>SOPs</w:t>
      </w:r>
      <w:proofErr w:type="spellEnd"/>
      <w:r>
        <w:rPr>
          <w:rFonts w:ascii="Arial" w:hAnsi="Arial" w:cs="Arial"/>
          <w:lang w:val="es-MX"/>
        </w:rPr>
        <w:t>) proporc</w:t>
      </w:r>
      <w:r w:rsidR="008E06B4">
        <w:rPr>
          <w:rFonts w:ascii="Arial" w:hAnsi="Arial" w:cs="Arial"/>
          <w:lang w:val="es-MX"/>
        </w:rPr>
        <w:t>iona el marco para la conducta é</w:t>
      </w:r>
      <w:r>
        <w:rPr>
          <w:rFonts w:ascii="Arial" w:hAnsi="Arial" w:cs="Arial"/>
          <w:lang w:val="es-MX"/>
        </w:rPr>
        <w:t>tica y la investigación humana</w:t>
      </w:r>
      <w:r w:rsidR="008E06B4" w:rsidRPr="008E06B4">
        <w:rPr>
          <w:rFonts w:ascii="Arial" w:hAnsi="Arial" w:cs="Arial"/>
          <w:lang w:val="es-MX"/>
        </w:rPr>
        <w:t xml:space="preserve"> </w:t>
      </w:r>
      <w:r w:rsidR="008E06B4">
        <w:rPr>
          <w:rFonts w:ascii="Arial" w:hAnsi="Arial" w:cs="Arial"/>
          <w:lang w:val="es-MX"/>
        </w:rPr>
        <w:t>científica sana</w:t>
      </w:r>
      <w:r>
        <w:rPr>
          <w:rFonts w:ascii="Arial" w:hAnsi="Arial" w:cs="Arial"/>
          <w:lang w:val="es-MX"/>
        </w:rPr>
        <w:t>.</w:t>
      </w:r>
    </w:p>
    <w:p w:rsidR="00E67A9D" w:rsidRDefault="00E67A9D" w:rsidP="00E67A9D">
      <w:pPr>
        <w:ind w:left="288"/>
        <w:jc w:val="both"/>
        <w:rPr>
          <w:rFonts w:ascii="Arial" w:hAnsi="Arial" w:cs="Arial"/>
          <w:lang w:val="es-MX"/>
        </w:rPr>
      </w:pPr>
    </w:p>
    <w:p w:rsidR="00E67A9D" w:rsidRPr="002D6459" w:rsidRDefault="00E67A9D" w:rsidP="00E67A9D">
      <w:pPr>
        <w:pStyle w:val="Ttulo2"/>
        <w:jc w:val="both"/>
        <w:rPr>
          <w:rFonts w:ascii="Arial" w:hAnsi="Arial" w:cs="Arial"/>
          <w:color w:val="auto"/>
          <w:lang w:val="es-MX"/>
        </w:rPr>
      </w:pPr>
      <w:r w:rsidRPr="002D6459">
        <w:rPr>
          <w:rFonts w:ascii="Arial" w:hAnsi="Arial" w:cs="Arial"/>
          <w:color w:val="auto"/>
          <w:sz w:val="24"/>
          <w:lang w:val="es-MX"/>
        </w:rPr>
        <w:t>Políticas específicas</w:t>
      </w:r>
    </w:p>
    <w:p w:rsidR="00E67A9D" w:rsidRDefault="00E67A9D" w:rsidP="00E67A9D">
      <w:pPr>
        <w:pStyle w:val="Ttulo2"/>
        <w:ind w:left="288"/>
        <w:jc w:val="both"/>
        <w:rPr>
          <w:rFonts w:ascii="Arial" w:hAnsi="Arial" w:cs="Arial"/>
          <w:color w:val="auto"/>
          <w:sz w:val="24"/>
          <w:lang w:val="es-MX"/>
        </w:rPr>
      </w:pPr>
      <w:r w:rsidRPr="002D6459">
        <w:rPr>
          <w:rFonts w:ascii="Arial" w:hAnsi="Arial" w:cs="Arial"/>
          <w:color w:val="auto"/>
          <w:sz w:val="24"/>
          <w:lang w:val="es-MX"/>
        </w:rPr>
        <w:t>1.1 Revisión, evaluación, aprobación de políticas y procedimientos</w:t>
      </w:r>
    </w:p>
    <w:p w:rsidR="000F385F" w:rsidRPr="000F385F" w:rsidRDefault="000F385F" w:rsidP="000F385F">
      <w:pPr>
        <w:rPr>
          <w:lang w:val="es-MX"/>
        </w:rPr>
      </w:pPr>
    </w:p>
    <w:p w:rsidR="00E67A9D" w:rsidRDefault="00E67A9D" w:rsidP="00E67A9D">
      <w:pPr>
        <w:pStyle w:val="List-Level3"/>
        <w:jc w:val="both"/>
        <w:rPr>
          <w:lang w:val="es-MX"/>
        </w:rPr>
      </w:pPr>
      <w:r>
        <w:rPr>
          <w:lang w:val="es-MX"/>
        </w:rPr>
        <w:t xml:space="preserve">1.1.1 </w:t>
      </w:r>
      <w:r w:rsidR="000C0454">
        <w:rPr>
          <w:lang w:val="es-MX"/>
        </w:rPr>
        <w:softHyphen/>
      </w:r>
      <w:r w:rsidR="000C0454">
        <w:rPr>
          <w:lang w:val="es-MX"/>
        </w:rPr>
        <w:softHyphen/>
      </w:r>
      <w:r w:rsidR="000C0454">
        <w:rPr>
          <w:lang w:val="es-MX"/>
        </w:rPr>
        <w:softHyphen/>
      </w:r>
      <w:r w:rsidR="000C0454">
        <w:rPr>
          <w:lang w:val="es-MX"/>
        </w:rPr>
        <w:softHyphen/>
      </w:r>
      <w:r>
        <w:rPr>
          <w:lang w:val="es-MX"/>
        </w:rPr>
        <w:t>Cambios a las regulaciones, a los lineamientos federales</w:t>
      </w:r>
      <w:r w:rsidR="008E06B4">
        <w:rPr>
          <w:lang w:val="es-MX"/>
        </w:rPr>
        <w:t>,</w:t>
      </w:r>
      <w:r w:rsidR="00C037FF">
        <w:rPr>
          <w:lang w:val="es-MX"/>
        </w:rPr>
        <w:t xml:space="preserve"> tanto nacionales como internacionales</w:t>
      </w:r>
      <w:r>
        <w:rPr>
          <w:lang w:val="es-MX"/>
        </w:rPr>
        <w:t xml:space="preserve">, o </w:t>
      </w:r>
      <w:r w:rsidR="008E06B4">
        <w:rPr>
          <w:lang w:val="es-MX"/>
        </w:rPr>
        <w:tab/>
        <w:t>pr</w:t>
      </w:r>
      <w:r>
        <w:rPr>
          <w:lang w:val="es-MX"/>
        </w:rPr>
        <w:t>áctica</w:t>
      </w:r>
      <w:r w:rsidR="008E06B4">
        <w:rPr>
          <w:lang w:val="es-MX"/>
        </w:rPr>
        <w:t>s</w:t>
      </w:r>
      <w:r>
        <w:rPr>
          <w:lang w:val="es-MX"/>
        </w:rPr>
        <w:t xml:space="preserve"> de la investigación así como las políticas y procedimientos de la Facultad de Medicina y Hospital Universitario de la U</w:t>
      </w:r>
      <w:r w:rsidR="008E06B4">
        <w:rPr>
          <w:lang w:val="es-MX"/>
        </w:rPr>
        <w:t>ANL</w:t>
      </w:r>
      <w:r>
        <w:rPr>
          <w:lang w:val="es-MX"/>
        </w:rPr>
        <w:t xml:space="preserve"> pueden requerir un nuevo </w:t>
      </w:r>
      <w:r w:rsidR="008E06B4">
        <w:rPr>
          <w:lang w:val="es-MX"/>
        </w:rPr>
        <w:t xml:space="preserve">SOP </w:t>
      </w:r>
      <w:r>
        <w:rPr>
          <w:lang w:val="es-MX"/>
        </w:rPr>
        <w:t>o una revisión a un SOP previamente publicado.</w:t>
      </w:r>
    </w:p>
    <w:p w:rsidR="00E67A9D" w:rsidRDefault="00E67A9D" w:rsidP="00E67A9D">
      <w:pPr>
        <w:pStyle w:val="List-Level3"/>
        <w:jc w:val="both"/>
        <w:rPr>
          <w:lang w:val="es-MX"/>
        </w:rPr>
      </w:pPr>
      <w:r>
        <w:rPr>
          <w:lang w:val="es-MX"/>
        </w:rPr>
        <w:lastRenderedPageBreak/>
        <w:t xml:space="preserve">1.1.2 Las políticas serán evaluadas por el </w:t>
      </w:r>
      <w:r w:rsidR="004B6BB1">
        <w:rPr>
          <w:lang w:val="es-MX"/>
        </w:rPr>
        <w:t xml:space="preserve">CEI </w:t>
      </w:r>
      <w:r>
        <w:rPr>
          <w:lang w:val="es-MX"/>
        </w:rPr>
        <w:t>en</w:t>
      </w:r>
      <w:r w:rsidR="000C0454">
        <w:rPr>
          <w:lang w:val="es-MX"/>
        </w:rPr>
        <w:t xml:space="preserve"> </w:t>
      </w:r>
      <w:r>
        <w:rPr>
          <w:lang w:val="es-MX"/>
        </w:rPr>
        <w:t>intervalos apropiados establecid</w:t>
      </w:r>
      <w:r w:rsidR="00A5230F">
        <w:rPr>
          <w:lang w:val="es-MX"/>
        </w:rPr>
        <w:t xml:space="preserve">os por el Presidente del Comité, tomando en cuenta las sugerencias de las diferentes coordinaciones de control de calidad, asuntos regulatorios, </w:t>
      </w:r>
      <w:r w:rsidR="00624673">
        <w:rPr>
          <w:lang w:val="es-MX"/>
        </w:rPr>
        <w:t xml:space="preserve">y </w:t>
      </w:r>
      <w:r w:rsidR="00A5230F">
        <w:rPr>
          <w:lang w:val="es-MX"/>
        </w:rPr>
        <w:t>miembros del comité.</w:t>
      </w:r>
    </w:p>
    <w:p w:rsidR="00E67A9D" w:rsidRDefault="00E67A9D" w:rsidP="00E67A9D">
      <w:pPr>
        <w:pStyle w:val="List-Level3"/>
        <w:jc w:val="both"/>
        <w:rPr>
          <w:lang w:val="es-MX"/>
        </w:rPr>
      </w:pPr>
      <w:r>
        <w:rPr>
          <w:lang w:val="es-MX"/>
        </w:rPr>
        <w:t>1.1.3 La aprobación de nuevos SOPs o de sus revisiones, es requerid</w:t>
      </w:r>
      <w:r w:rsidR="000C0454">
        <w:rPr>
          <w:lang w:val="es-MX"/>
        </w:rPr>
        <w:t xml:space="preserve">a por el Presidente del </w:t>
      </w:r>
      <w:r w:rsidR="004B6BB1">
        <w:rPr>
          <w:lang w:val="es-MX"/>
        </w:rPr>
        <w:t>CEI</w:t>
      </w:r>
      <w:r>
        <w:rPr>
          <w:lang w:val="es-MX"/>
        </w:rPr>
        <w:t xml:space="preserve">. </w:t>
      </w:r>
    </w:p>
    <w:p w:rsidR="00E67A9D" w:rsidRDefault="00624673" w:rsidP="00E67A9D">
      <w:pPr>
        <w:pStyle w:val="List-Level3"/>
        <w:jc w:val="both"/>
        <w:rPr>
          <w:lang w:val="es-MX"/>
        </w:rPr>
      </w:pPr>
      <w:r>
        <w:rPr>
          <w:lang w:val="es-MX"/>
        </w:rPr>
        <w:t>1.1.4 L</w:t>
      </w:r>
      <w:r w:rsidR="00E67A9D">
        <w:rPr>
          <w:lang w:val="es-MX"/>
        </w:rPr>
        <w:t xml:space="preserve">a documentación sobre </w:t>
      </w:r>
      <w:r>
        <w:rPr>
          <w:lang w:val="es-MX"/>
        </w:rPr>
        <w:t xml:space="preserve">la </w:t>
      </w:r>
      <w:r w:rsidR="00E67A9D">
        <w:rPr>
          <w:lang w:val="es-MX"/>
        </w:rPr>
        <w:t xml:space="preserve">evaluación y </w:t>
      </w:r>
      <w:r>
        <w:rPr>
          <w:lang w:val="es-MX"/>
        </w:rPr>
        <w:t xml:space="preserve">la </w:t>
      </w:r>
      <w:r w:rsidR="00E67A9D">
        <w:rPr>
          <w:lang w:val="es-MX"/>
        </w:rPr>
        <w:t>aprobación</w:t>
      </w:r>
      <w:r>
        <w:rPr>
          <w:lang w:val="es-MX"/>
        </w:rPr>
        <w:t xml:space="preserve"> debe de ser </w:t>
      </w:r>
      <w:r w:rsidR="00E67A9D">
        <w:rPr>
          <w:lang w:val="es-MX"/>
        </w:rPr>
        <w:t>firmada por los individuos responsables autorizados.</w:t>
      </w:r>
    </w:p>
    <w:p w:rsidR="00E67A9D" w:rsidRDefault="00E67A9D" w:rsidP="00E67A9D">
      <w:pPr>
        <w:pStyle w:val="Ttulo2"/>
        <w:ind w:left="288"/>
        <w:jc w:val="both"/>
        <w:rPr>
          <w:rFonts w:ascii="Arial" w:hAnsi="Arial" w:cs="Arial"/>
          <w:color w:val="auto"/>
          <w:sz w:val="24"/>
          <w:lang w:val="es-MX"/>
        </w:rPr>
      </w:pPr>
      <w:r w:rsidRPr="002D6459">
        <w:rPr>
          <w:rFonts w:ascii="Arial" w:hAnsi="Arial" w:cs="Arial"/>
          <w:color w:val="auto"/>
          <w:sz w:val="24"/>
          <w:lang w:val="es-MX"/>
        </w:rPr>
        <w:t xml:space="preserve">1.2 Difusión y entrenamiento de </w:t>
      </w:r>
      <w:proofErr w:type="spellStart"/>
      <w:r w:rsidRPr="002D6459">
        <w:rPr>
          <w:rFonts w:ascii="Arial" w:hAnsi="Arial" w:cs="Arial"/>
          <w:color w:val="auto"/>
          <w:sz w:val="24"/>
          <w:lang w:val="es-MX"/>
        </w:rPr>
        <w:t>SOP</w:t>
      </w:r>
      <w:r w:rsidR="00624673">
        <w:rPr>
          <w:rFonts w:ascii="Arial" w:hAnsi="Arial" w:cs="Arial"/>
          <w:color w:val="auto"/>
          <w:sz w:val="24"/>
          <w:lang w:val="es-MX"/>
        </w:rPr>
        <w:t>s</w:t>
      </w:r>
      <w:proofErr w:type="spellEnd"/>
    </w:p>
    <w:p w:rsidR="000F385F" w:rsidRPr="000F385F" w:rsidRDefault="000F385F" w:rsidP="000F385F">
      <w:pPr>
        <w:rPr>
          <w:lang w:val="es-MX"/>
        </w:rPr>
      </w:pPr>
    </w:p>
    <w:p w:rsidR="00E67A9D" w:rsidRDefault="00E67A9D" w:rsidP="00E67A9D">
      <w:pPr>
        <w:pStyle w:val="List-Level3"/>
        <w:jc w:val="both"/>
        <w:rPr>
          <w:lang w:val="es-MX"/>
        </w:rPr>
      </w:pPr>
      <w:r>
        <w:rPr>
          <w:lang w:val="es-MX"/>
        </w:rPr>
        <w:t xml:space="preserve">1.2.1 Cuando los </w:t>
      </w:r>
      <w:proofErr w:type="spellStart"/>
      <w:r>
        <w:rPr>
          <w:lang w:val="es-MX"/>
        </w:rPr>
        <w:t>SOPs</w:t>
      </w:r>
      <w:proofErr w:type="spellEnd"/>
      <w:r>
        <w:rPr>
          <w:lang w:val="es-MX"/>
        </w:rPr>
        <w:t xml:space="preserve"> nuevos o revisados son aprobados, serán difundidos entre los individuos</w:t>
      </w:r>
      <w:r w:rsidR="00624673">
        <w:rPr>
          <w:lang w:val="es-MX"/>
        </w:rPr>
        <w:t xml:space="preserve"> y los departamentos apropiados, </w:t>
      </w:r>
      <w:r>
        <w:rPr>
          <w:lang w:val="es-MX"/>
        </w:rPr>
        <w:t>según lo detallado en la forma GA 101-F</w:t>
      </w:r>
      <w:r w:rsidR="00A64950">
        <w:rPr>
          <w:lang w:val="es-MX"/>
        </w:rPr>
        <w:t>,</w:t>
      </w:r>
      <w:r w:rsidR="00D3098E">
        <w:rPr>
          <w:lang w:val="es-MX"/>
        </w:rPr>
        <w:t xml:space="preserve"> a través de nuestro sitio web </w:t>
      </w:r>
      <w:hyperlink r:id="rId9" w:history="1">
        <w:r w:rsidR="00EF2039">
          <w:rPr>
            <w:rStyle w:val="Hipervnculo"/>
            <w:lang w:val="es-MX"/>
          </w:rPr>
          <w:t>http://www.medicina.uanl.mx/investigacion/</w:t>
        </w:r>
      </w:hyperlink>
      <w:r w:rsidR="00D3098E">
        <w:rPr>
          <w:lang w:val="es-MX"/>
        </w:rPr>
        <w:t xml:space="preserve"> de manera que todo el personal involucrado este consiente de los cambios</w:t>
      </w:r>
      <w:r w:rsidR="00624673">
        <w:rPr>
          <w:lang w:val="es-MX"/>
        </w:rPr>
        <w:t>,</w:t>
      </w:r>
      <w:r w:rsidR="00D3098E">
        <w:rPr>
          <w:lang w:val="es-MX"/>
        </w:rPr>
        <w:t xml:space="preserve"> ya sea a través de boletines electrónicos o a tra</w:t>
      </w:r>
      <w:r w:rsidR="00CE3479">
        <w:rPr>
          <w:lang w:val="es-MX"/>
        </w:rPr>
        <w:t>vés de su notificación en línea o escrita.</w:t>
      </w:r>
    </w:p>
    <w:p w:rsidR="00E67A9D" w:rsidRDefault="00E67A9D" w:rsidP="00E67A9D">
      <w:pPr>
        <w:pStyle w:val="List-Level3"/>
        <w:jc w:val="both"/>
        <w:rPr>
          <w:lang w:val="es-MX"/>
        </w:rPr>
      </w:pPr>
      <w:r>
        <w:rPr>
          <w:lang w:val="es-MX"/>
        </w:rPr>
        <w:t xml:space="preserve">1.2.2 El entrenamiento </w:t>
      </w:r>
      <w:r w:rsidR="00624673">
        <w:rPr>
          <w:lang w:val="es-MX"/>
        </w:rPr>
        <w:t xml:space="preserve">sobre cualquier política o procedimiento nuevo o revisado </w:t>
      </w:r>
      <w:r>
        <w:rPr>
          <w:lang w:val="es-MX"/>
        </w:rPr>
        <w:t xml:space="preserve">deberá ser proporcionado a todos los miembros y personal del </w:t>
      </w:r>
      <w:r w:rsidR="004B6BB1">
        <w:rPr>
          <w:lang w:val="es-MX"/>
        </w:rPr>
        <w:t>CEI</w:t>
      </w:r>
      <w:r w:rsidR="003350BF">
        <w:rPr>
          <w:lang w:val="es-MX"/>
        </w:rPr>
        <w:t xml:space="preserve"> </w:t>
      </w:r>
      <w:r w:rsidR="00624673">
        <w:rPr>
          <w:lang w:val="es-MX"/>
        </w:rPr>
        <w:t xml:space="preserve">que integran el </w:t>
      </w:r>
      <w:r w:rsidR="00EF2039">
        <w:rPr>
          <w:lang w:val="es-MX"/>
        </w:rPr>
        <w:t>PPSI</w:t>
      </w:r>
      <w:r>
        <w:rPr>
          <w:lang w:val="es-MX"/>
        </w:rPr>
        <w:t xml:space="preserve"> </w:t>
      </w:r>
      <w:r w:rsidR="00624673">
        <w:rPr>
          <w:lang w:val="es-MX"/>
        </w:rPr>
        <w:t>(Programa de Protección Seres Humanos en Investigación)</w:t>
      </w:r>
      <w:r>
        <w:rPr>
          <w:lang w:val="es-MX"/>
        </w:rPr>
        <w:t xml:space="preserve">. La evidencia de dicho entrenamiento se debe documentar y archivar por el Presidente del </w:t>
      </w:r>
      <w:r w:rsidR="004B6BB1">
        <w:rPr>
          <w:lang w:val="es-MX"/>
        </w:rPr>
        <w:t>CEI</w:t>
      </w:r>
    </w:p>
    <w:p w:rsidR="00E67A9D" w:rsidRDefault="00E67A9D" w:rsidP="00E67A9D">
      <w:pPr>
        <w:pStyle w:val="List-Level3"/>
        <w:jc w:val="both"/>
        <w:rPr>
          <w:lang w:val="es-MX"/>
        </w:rPr>
      </w:pPr>
      <w:r>
        <w:rPr>
          <w:lang w:val="es-MX"/>
        </w:rPr>
        <w:t>1.2.3 Antes de e</w:t>
      </w:r>
      <w:r w:rsidR="00A64950">
        <w:rPr>
          <w:lang w:val="es-MX"/>
        </w:rPr>
        <w:t>ncargarse de</w:t>
      </w:r>
      <w:r>
        <w:rPr>
          <w:lang w:val="es-MX"/>
        </w:rPr>
        <w:t xml:space="preserve"> cualquier responsabilidad en el </w:t>
      </w:r>
      <w:r w:rsidR="004B6BB1">
        <w:rPr>
          <w:lang w:val="es-MX"/>
        </w:rPr>
        <w:t>CEI</w:t>
      </w:r>
      <w:r>
        <w:rPr>
          <w:lang w:val="es-MX"/>
        </w:rPr>
        <w:t xml:space="preserve">, cualquier personal nuevo o miembro del </w:t>
      </w:r>
      <w:r w:rsidR="004B6BB1">
        <w:rPr>
          <w:lang w:val="es-MX"/>
        </w:rPr>
        <w:t xml:space="preserve">CEI </w:t>
      </w:r>
      <w:r>
        <w:rPr>
          <w:lang w:val="es-MX"/>
        </w:rPr>
        <w:t xml:space="preserve">deberá revisar todos los SOPs aplicables. La evidencia del entrenamiento debe </w:t>
      </w:r>
      <w:r w:rsidR="00A64950">
        <w:rPr>
          <w:lang w:val="es-MX"/>
        </w:rPr>
        <w:t xml:space="preserve">estar </w:t>
      </w:r>
      <w:r>
        <w:rPr>
          <w:lang w:val="es-MX"/>
        </w:rPr>
        <w:t>documenta</w:t>
      </w:r>
      <w:r w:rsidR="00A64950">
        <w:rPr>
          <w:lang w:val="es-MX"/>
        </w:rPr>
        <w:t>da</w:t>
      </w:r>
      <w:r>
        <w:rPr>
          <w:lang w:val="es-MX"/>
        </w:rPr>
        <w:t xml:space="preserve"> y archiva</w:t>
      </w:r>
      <w:r w:rsidR="00A64950">
        <w:rPr>
          <w:lang w:val="es-MX"/>
        </w:rPr>
        <w:t>da</w:t>
      </w:r>
      <w:r>
        <w:rPr>
          <w:lang w:val="es-MX"/>
        </w:rPr>
        <w:t xml:space="preserve"> por el Presidente del </w:t>
      </w:r>
      <w:r w:rsidR="004B6BB1">
        <w:rPr>
          <w:lang w:val="es-MX"/>
        </w:rPr>
        <w:t>CEI</w:t>
      </w:r>
      <w:r>
        <w:rPr>
          <w:lang w:val="es-MX"/>
        </w:rPr>
        <w:t>.</w:t>
      </w:r>
    </w:p>
    <w:p w:rsidR="00FD14EA" w:rsidRDefault="00FD14EA" w:rsidP="00E67A9D">
      <w:pPr>
        <w:pStyle w:val="List-Level3"/>
        <w:jc w:val="both"/>
        <w:rPr>
          <w:lang w:val="es-MX"/>
        </w:rPr>
      </w:pPr>
      <w:r>
        <w:rPr>
          <w:lang w:val="es-MX"/>
        </w:rPr>
        <w:t xml:space="preserve">1.2.4. </w:t>
      </w:r>
      <w:r w:rsidR="00A64950">
        <w:rPr>
          <w:lang w:val="es-MX"/>
        </w:rPr>
        <w:t xml:space="preserve">Después de la </w:t>
      </w:r>
      <w:r>
        <w:rPr>
          <w:lang w:val="es-MX"/>
        </w:rPr>
        <w:t>autoriza</w:t>
      </w:r>
      <w:r w:rsidR="00A64950">
        <w:rPr>
          <w:lang w:val="es-MX"/>
        </w:rPr>
        <w:t xml:space="preserve">ción de </w:t>
      </w:r>
      <w:r>
        <w:rPr>
          <w:lang w:val="es-MX"/>
        </w:rPr>
        <w:t xml:space="preserve">las </w:t>
      </w:r>
      <w:r w:rsidR="00A64950">
        <w:rPr>
          <w:lang w:val="es-MX"/>
        </w:rPr>
        <w:t>d</w:t>
      </w:r>
      <w:r>
        <w:rPr>
          <w:lang w:val="es-MX"/>
        </w:rPr>
        <w:t>iferentes políticas y procedimientos</w:t>
      </w:r>
      <w:r w:rsidR="00A64950">
        <w:rPr>
          <w:lang w:val="es-MX"/>
        </w:rPr>
        <w:t>, y par</w:t>
      </w:r>
      <w:r>
        <w:rPr>
          <w:lang w:val="es-MX"/>
        </w:rPr>
        <w:t xml:space="preserve">a dar cumplimiento a lo establecido </w:t>
      </w:r>
      <w:r w:rsidR="003350BF">
        <w:rPr>
          <w:lang w:val="es-MX"/>
        </w:rPr>
        <w:t xml:space="preserve">en la </w:t>
      </w:r>
      <w:r w:rsidR="00A64950">
        <w:rPr>
          <w:lang w:val="es-MX"/>
        </w:rPr>
        <w:t>Ley General de Salud en Materia de I</w:t>
      </w:r>
      <w:r>
        <w:rPr>
          <w:lang w:val="es-MX"/>
        </w:rPr>
        <w:t>nvest</w:t>
      </w:r>
      <w:r w:rsidR="00A64950">
        <w:rPr>
          <w:lang w:val="es-MX"/>
        </w:rPr>
        <w:t>ig</w:t>
      </w:r>
      <w:r>
        <w:rPr>
          <w:lang w:val="es-MX"/>
        </w:rPr>
        <w:t>ación</w:t>
      </w:r>
      <w:r w:rsidR="00A64950">
        <w:rPr>
          <w:lang w:val="es-MX"/>
        </w:rPr>
        <w:t>,</w:t>
      </w:r>
      <w:r>
        <w:rPr>
          <w:lang w:val="es-MX"/>
        </w:rPr>
        <w:t xml:space="preserve"> así como a lo estipulado por los códigos regulatorios de la FDA y </w:t>
      </w:r>
      <w:r w:rsidR="00A64950">
        <w:rPr>
          <w:lang w:val="es-MX"/>
        </w:rPr>
        <w:t xml:space="preserve">de la </w:t>
      </w:r>
      <w:r>
        <w:rPr>
          <w:lang w:val="es-MX"/>
        </w:rPr>
        <w:t xml:space="preserve">HHS, estos estarán disponibles en la Subdirección de Investigación, así mismo serán publicados a través de nuestro sitio web </w:t>
      </w:r>
      <w:hyperlink r:id="rId10" w:history="1">
        <w:r w:rsidR="00EF2039">
          <w:rPr>
            <w:rStyle w:val="Hipervnculo"/>
            <w:lang w:val="es-MX"/>
          </w:rPr>
          <w:t>http://www.medicina.uanl.mx/investigacion/</w:t>
        </w:r>
      </w:hyperlink>
      <w:r>
        <w:rPr>
          <w:lang w:val="es-MX"/>
        </w:rPr>
        <w:t xml:space="preserve"> para </w:t>
      </w:r>
      <w:r w:rsidR="00C77431">
        <w:rPr>
          <w:lang w:val="es-MX"/>
        </w:rPr>
        <w:t>ser revisados por cualquier persona interes</w:t>
      </w:r>
      <w:r>
        <w:rPr>
          <w:lang w:val="es-MX"/>
        </w:rPr>
        <w:t>ad</w:t>
      </w:r>
      <w:r w:rsidR="00C77431">
        <w:rPr>
          <w:lang w:val="es-MX"/>
        </w:rPr>
        <w:t>a</w:t>
      </w:r>
      <w:r>
        <w:rPr>
          <w:lang w:val="es-MX"/>
        </w:rPr>
        <w:t>.</w:t>
      </w:r>
    </w:p>
    <w:p w:rsidR="00E67A9D" w:rsidRPr="000F385F" w:rsidRDefault="00E67A9D" w:rsidP="00E67A9D">
      <w:pPr>
        <w:pStyle w:val="List-Level3"/>
        <w:jc w:val="both"/>
        <w:rPr>
          <w:b/>
          <w:lang w:val="es-MX"/>
        </w:rPr>
      </w:pPr>
      <w:r w:rsidRPr="000F385F">
        <w:rPr>
          <w:b/>
          <w:lang w:val="es-MX"/>
        </w:rPr>
        <w:t>1.3 Formatos</w:t>
      </w:r>
    </w:p>
    <w:p w:rsidR="00E67A9D" w:rsidRDefault="00E67A9D" w:rsidP="00E67A9D">
      <w:pPr>
        <w:pStyle w:val="level2bodystyle"/>
        <w:jc w:val="both"/>
        <w:rPr>
          <w:lang w:val="es-MX"/>
        </w:rPr>
      </w:pPr>
      <w:r>
        <w:rPr>
          <w:sz w:val="24"/>
          <w:lang w:val="es-MX"/>
        </w:rPr>
        <w:t>El uso de f</w:t>
      </w:r>
      <w:r w:rsidR="00451AD3">
        <w:rPr>
          <w:sz w:val="24"/>
          <w:lang w:val="es-MX"/>
        </w:rPr>
        <w:t xml:space="preserve">ormatos es para 1) asegurar </w:t>
      </w:r>
      <w:r w:rsidR="00961C82">
        <w:rPr>
          <w:sz w:val="24"/>
          <w:lang w:val="es-MX"/>
        </w:rPr>
        <w:t>que las políticas está</w:t>
      </w:r>
      <w:r>
        <w:rPr>
          <w:sz w:val="24"/>
          <w:lang w:val="es-MX"/>
        </w:rPr>
        <w:t xml:space="preserve">n integradas en las operaciones diarias de la investigación y de las revisiones </w:t>
      </w:r>
      <w:r w:rsidR="00961C82">
        <w:rPr>
          <w:sz w:val="24"/>
          <w:lang w:val="es-MX"/>
        </w:rPr>
        <w:t xml:space="preserve">de </w:t>
      </w:r>
      <w:r>
        <w:rPr>
          <w:sz w:val="24"/>
          <w:lang w:val="es-MX"/>
        </w:rPr>
        <w:t xml:space="preserve">todo </w:t>
      </w:r>
      <w:r>
        <w:rPr>
          <w:sz w:val="24"/>
          <w:lang w:val="es-MX"/>
        </w:rPr>
        <w:lastRenderedPageBreak/>
        <w:t xml:space="preserve">el sistema del </w:t>
      </w:r>
      <w:r w:rsidR="004B6BB1">
        <w:rPr>
          <w:sz w:val="24"/>
          <w:lang w:val="es-MX"/>
        </w:rPr>
        <w:t>CEI</w:t>
      </w:r>
      <w:r>
        <w:rPr>
          <w:sz w:val="24"/>
          <w:lang w:val="es-MX"/>
        </w:rPr>
        <w:t xml:space="preserve">, y 2) permitir al personal del </w:t>
      </w:r>
      <w:r w:rsidR="004B6BB1">
        <w:rPr>
          <w:lang w:val="es-MX"/>
        </w:rPr>
        <w:t xml:space="preserve">CEI </w:t>
      </w:r>
      <w:r>
        <w:rPr>
          <w:sz w:val="24"/>
          <w:lang w:val="es-MX"/>
        </w:rPr>
        <w:t xml:space="preserve">manejar constantemente la revisión, </w:t>
      </w:r>
      <w:r w:rsidR="00961C82">
        <w:rPr>
          <w:sz w:val="24"/>
          <w:lang w:val="es-MX"/>
        </w:rPr>
        <w:t>el monitoreo</w:t>
      </w:r>
      <w:r>
        <w:rPr>
          <w:sz w:val="24"/>
          <w:lang w:val="es-MX"/>
        </w:rPr>
        <w:t xml:space="preserve"> y </w:t>
      </w:r>
      <w:r w:rsidR="00961C82">
        <w:rPr>
          <w:sz w:val="24"/>
          <w:lang w:val="es-MX"/>
        </w:rPr>
        <w:t>notificación de las f</w:t>
      </w:r>
      <w:r>
        <w:rPr>
          <w:sz w:val="24"/>
          <w:lang w:val="es-MX"/>
        </w:rPr>
        <w:t>unciones</w:t>
      </w:r>
      <w:r w:rsidR="00961C82">
        <w:rPr>
          <w:sz w:val="24"/>
          <w:lang w:val="es-MX"/>
        </w:rPr>
        <w:t>.</w:t>
      </w:r>
      <w:r>
        <w:rPr>
          <w:sz w:val="24"/>
          <w:lang w:val="es-MX"/>
        </w:rPr>
        <w:t xml:space="preserve"> Los formatos son </w:t>
      </w:r>
      <w:r>
        <w:rPr>
          <w:b/>
          <w:i/>
          <w:sz w:val="24"/>
          <w:lang w:val="es-MX"/>
        </w:rPr>
        <w:t>controlados</w:t>
      </w:r>
      <w:r>
        <w:rPr>
          <w:sz w:val="24"/>
          <w:lang w:val="es-MX"/>
        </w:rPr>
        <w:t xml:space="preserve"> o </w:t>
      </w:r>
      <w:r>
        <w:rPr>
          <w:b/>
          <w:i/>
          <w:sz w:val="24"/>
          <w:lang w:val="es-MX"/>
        </w:rPr>
        <w:t>no</w:t>
      </w:r>
      <w:r>
        <w:rPr>
          <w:sz w:val="24"/>
          <w:lang w:val="es-MX"/>
        </w:rPr>
        <w:t xml:space="preserve">- </w:t>
      </w:r>
      <w:r>
        <w:rPr>
          <w:b/>
          <w:i/>
          <w:sz w:val="24"/>
          <w:lang w:val="es-MX"/>
        </w:rPr>
        <w:t>controlados</w:t>
      </w:r>
      <w:r>
        <w:rPr>
          <w:sz w:val="24"/>
          <w:lang w:val="es-MX"/>
        </w:rPr>
        <w:t>.</w:t>
      </w:r>
    </w:p>
    <w:p w:rsidR="00E67A9D" w:rsidRDefault="00E67A9D" w:rsidP="00E67A9D">
      <w:pPr>
        <w:pStyle w:val="List-Level3"/>
        <w:jc w:val="both"/>
        <w:rPr>
          <w:lang w:val="es-MX"/>
        </w:rPr>
      </w:pPr>
      <w:r>
        <w:rPr>
          <w:lang w:val="es-MX"/>
        </w:rPr>
        <w:t xml:space="preserve">1.3.1 Los formatos </w:t>
      </w:r>
      <w:r>
        <w:rPr>
          <w:b/>
          <w:i/>
          <w:lang w:val="es-MX"/>
        </w:rPr>
        <w:t>controlados</w:t>
      </w:r>
      <w:r>
        <w:rPr>
          <w:lang w:val="es-MX"/>
        </w:rPr>
        <w:t xml:space="preserve"> son los documentos </w:t>
      </w:r>
      <w:r w:rsidR="00961C82">
        <w:rPr>
          <w:lang w:val="es-MX"/>
        </w:rPr>
        <w:t xml:space="preserve">regulatorios </w:t>
      </w:r>
      <w:r>
        <w:rPr>
          <w:lang w:val="es-MX"/>
        </w:rPr>
        <w:t xml:space="preserve">que se convierten en parte del expediente permanente de las revisiones y determinaciones del </w:t>
      </w:r>
      <w:r w:rsidR="004B6BB1">
        <w:rPr>
          <w:lang w:val="es-MX"/>
        </w:rPr>
        <w:t>CEI</w:t>
      </w:r>
      <w:r>
        <w:rPr>
          <w:lang w:val="es-MX"/>
        </w:rPr>
        <w:t xml:space="preserve">.  Por lo tanto, deben ser revisadas y  aprobadas según </w:t>
      </w:r>
      <w:r w:rsidR="00961C82">
        <w:rPr>
          <w:lang w:val="es-MX"/>
        </w:rPr>
        <w:t>se</w:t>
      </w:r>
      <w:r>
        <w:rPr>
          <w:lang w:val="es-MX"/>
        </w:rPr>
        <w:t xml:space="preserve"> descri</w:t>
      </w:r>
      <w:r w:rsidR="00961C82">
        <w:rPr>
          <w:lang w:val="es-MX"/>
        </w:rPr>
        <w:t xml:space="preserve">be </w:t>
      </w:r>
      <w:r>
        <w:rPr>
          <w:lang w:val="es-MX"/>
        </w:rPr>
        <w:t>en las secciones 1.1 y 1.2.</w:t>
      </w:r>
    </w:p>
    <w:p w:rsidR="00803517" w:rsidRPr="00E67A9D" w:rsidRDefault="00E67A9D" w:rsidP="00E67A9D">
      <w:pPr>
        <w:pStyle w:val="List-Level3"/>
        <w:jc w:val="both"/>
        <w:rPr>
          <w:lang w:val="es-MX"/>
        </w:rPr>
      </w:pPr>
      <w:r w:rsidRPr="00E67A9D">
        <w:rPr>
          <w:lang w:val="es-MX"/>
        </w:rPr>
        <w:t xml:space="preserve">1.3.2 Los formatos </w:t>
      </w:r>
      <w:r w:rsidRPr="00E67A9D">
        <w:rPr>
          <w:b/>
          <w:i/>
          <w:lang w:val="es-MX"/>
        </w:rPr>
        <w:t>no</w:t>
      </w:r>
      <w:r w:rsidRPr="00E67A9D">
        <w:rPr>
          <w:lang w:val="es-MX"/>
        </w:rPr>
        <w:t>-</w:t>
      </w:r>
      <w:r w:rsidRPr="00E67A9D">
        <w:rPr>
          <w:b/>
          <w:i/>
          <w:lang w:val="es-MX"/>
        </w:rPr>
        <w:t>controlados</w:t>
      </w:r>
      <w:r w:rsidRPr="00E67A9D">
        <w:rPr>
          <w:lang w:val="es-MX"/>
        </w:rPr>
        <w:t xml:space="preserve"> son las herramientas de manejo que no están acorde a los estándares de control citados en las secciones 1.1 y 1.2. </w:t>
      </w:r>
    </w:p>
    <w:p w:rsidR="00E67A9D" w:rsidRDefault="00E67A9D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IV. RESPONSABILIDADES</w:t>
      </w:r>
    </w:p>
    <w:p w:rsidR="001B213D" w:rsidRDefault="001B213D" w:rsidP="00DB53D2">
      <w:pPr>
        <w:jc w:val="both"/>
        <w:rPr>
          <w:rFonts w:ascii="Arial" w:hAnsi="Arial" w:cs="Arial"/>
          <w:b/>
        </w:rPr>
      </w:pPr>
    </w:p>
    <w:p w:rsidR="00B50A97" w:rsidRDefault="000C0454" w:rsidP="00B50A97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 xml:space="preserve">El Presidente del </w:t>
      </w:r>
      <w:r w:rsidR="004B6BB1">
        <w:rPr>
          <w:snapToGrid w:val="0"/>
          <w:lang w:val="es-MX"/>
        </w:rPr>
        <w:t>CEI</w:t>
      </w:r>
      <w:r w:rsidR="00B50A97">
        <w:rPr>
          <w:snapToGrid w:val="0"/>
          <w:lang w:val="es-MX"/>
        </w:rPr>
        <w:t xml:space="preserve"> es responsable de conceder la aprobación final  a las políticas nuevas y revisadas  del </w:t>
      </w:r>
      <w:r w:rsidR="00B50A97">
        <w:rPr>
          <w:lang w:val="es-MX"/>
        </w:rPr>
        <w:t>Comité</w:t>
      </w:r>
      <w:r w:rsidR="00CE3479">
        <w:rPr>
          <w:snapToGrid w:val="0"/>
          <w:lang w:val="es-MX"/>
        </w:rPr>
        <w:t xml:space="preserve"> con el </w:t>
      </w:r>
      <w:r w:rsidR="00961C82">
        <w:rPr>
          <w:snapToGrid w:val="0"/>
          <w:lang w:val="es-MX"/>
        </w:rPr>
        <w:t>v</w:t>
      </w:r>
      <w:r w:rsidR="00CE3479">
        <w:rPr>
          <w:snapToGrid w:val="0"/>
          <w:lang w:val="es-MX"/>
        </w:rPr>
        <w:t xml:space="preserve">isto </w:t>
      </w:r>
      <w:r w:rsidR="00961C82">
        <w:rPr>
          <w:snapToGrid w:val="0"/>
          <w:lang w:val="es-MX"/>
        </w:rPr>
        <w:t>b</w:t>
      </w:r>
      <w:r w:rsidR="00CE3479">
        <w:rPr>
          <w:snapToGrid w:val="0"/>
          <w:lang w:val="es-MX"/>
        </w:rPr>
        <w:t>ueno del Subdirector de Investigación de nuestra Institución.</w:t>
      </w:r>
    </w:p>
    <w:p w:rsidR="00B50A97" w:rsidRDefault="00B50A97" w:rsidP="00B50A97">
      <w:pPr>
        <w:pStyle w:val="level1bodystyle"/>
        <w:jc w:val="both"/>
        <w:rPr>
          <w:snapToGrid w:val="0"/>
          <w:lang w:val="es-MX"/>
        </w:rPr>
      </w:pPr>
      <w:r>
        <w:rPr>
          <w:snapToGrid w:val="0"/>
          <w:lang w:val="es-MX"/>
        </w:rPr>
        <w:t xml:space="preserve">El </w:t>
      </w:r>
      <w:r w:rsidR="004B6BB1">
        <w:rPr>
          <w:snapToGrid w:val="0"/>
          <w:lang w:val="es-MX"/>
        </w:rPr>
        <w:t>CEI</w:t>
      </w:r>
      <w:r w:rsidR="000C0454">
        <w:rPr>
          <w:snapToGrid w:val="0"/>
          <w:lang w:val="es-MX"/>
        </w:rPr>
        <w:t xml:space="preserve"> </w:t>
      </w:r>
      <w:r>
        <w:rPr>
          <w:snapToGrid w:val="0"/>
          <w:lang w:val="es-MX"/>
        </w:rPr>
        <w:t xml:space="preserve">es responsable de establecer, revisar </w:t>
      </w:r>
      <w:r w:rsidR="000F385F">
        <w:rPr>
          <w:snapToGrid w:val="0"/>
          <w:lang w:val="es-MX"/>
        </w:rPr>
        <w:t xml:space="preserve">periódicamente </w:t>
      </w:r>
      <w:r>
        <w:rPr>
          <w:snapToGrid w:val="0"/>
          <w:lang w:val="es-MX"/>
        </w:rPr>
        <w:t>y modificar (c</w:t>
      </w:r>
      <w:r w:rsidR="000F385F">
        <w:rPr>
          <w:snapToGrid w:val="0"/>
          <w:lang w:val="es-MX"/>
        </w:rPr>
        <w:t>uando sea</w:t>
      </w:r>
      <w:r>
        <w:rPr>
          <w:snapToGrid w:val="0"/>
          <w:lang w:val="es-MX"/>
        </w:rPr>
        <w:t xml:space="preserve"> apropiado) las políticas y procedimientos </w:t>
      </w:r>
      <w:r w:rsidR="000F385F">
        <w:rPr>
          <w:snapToGrid w:val="0"/>
          <w:lang w:val="es-MX"/>
        </w:rPr>
        <w:t xml:space="preserve">de operación </w:t>
      </w:r>
      <w:r>
        <w:rPr>
          <w:snapToGrid w:val="0"/>
          <w:lang w:val="es-MX"/>
        </w:rPr>
        <w:t xml:space="preserve">estándar del </w:t>
      </w:r>
      <w:r>
        <w:rPr>
          <w:lang w:val="es-MX"/>
        </w:rPr>
        <w:t>Comité</w:t>
      </w:r>
      <w:r>
        <w:rPr>
          <w:snapToGrid w:val="0"/>
          <w:lang w:val="es-MX"/>
        </w:rPr>
        <w:t>.</w:t>
      </w:r>
    </w:p>
    <w:p w:rsidR="00B50A97" w:rsidRDefault="00B50A97" w:rsidP="00B50A97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 xml:space="preserve">El Presidente del </w:t>
      </w:r>
      <w:r w:rsidR="004B6BB1">
        <w:rPr>
          <w:snapToGrid w:val="0"/>
          <w:lang w:val="es-MX"/>
        </w:rPr>
        <w:t>CEI</w:t>
      </w:r>
      <w:r>
        <w:rPr>
          <w:snapToGrid w:val="0"/>
          <w:lang w:val="es-MX"/>
        </w:rPr>
        <w:t xml:space="preserve"> </w:t>
      </w:r>
      <w:r w:rsidR="000F385F">
        <w:rPr>
          <w:snapToGrid w:val="0"/>
          <w:lang w:val="es-MX"/>
        </w:rPr>
        <w:t>es responsable de establecer,</w:t>
      </w:r>
      <w:r>
        <w:rPr>
          <w:snapToGrid w:val="0"/>
          <w:lang w:val="es-MX"/>
        </w:rPr>
        <w:t xml:space="preserve"> y periódicamente revisar y modificar (c</w:t>
      </w:r>
      <w:r w:rsidR="000F385F">
        <w:rPr>
          <w:snapToGrid w:val="0"/>
          <w:lang w:val="es-MX"/>
        </w:rPr>
        <w:t>uando sea</w:t>
      </w:r>
      <w:r>
        <w:rPr>
          <w:snapToGrid w:val="0"/>
          <w:lang w:val="es-MX"/>
        </w:rPr>
        <w:t xml:space="preserve"> apropiado) políticas y procedimientos </w:t>
      </w:r>
      <w:r w:rsidR="000F385F">
        <w:rPr>
          <w:snapToGrid w:val="0"/>
          <w:lang w:val="es-MX"/>
        </w:rPr>
        <w:t xml:space="preserve">de operación </w:t>
      </w:r>
      <w:r>
        <w:rPr>
          <w:snapToGrid w:val="0"/>
          <w:lang w:val="es-MX"/>
        </w:rPr>
        <w:t xml:space="preserve">estándar del </w:t>
      </w:r>
      <w:r>
        <w:rPr>
          <w:lang w:val="es-MX"/>
        </w:rPr>
        <w:t>Comité</w:t>
      </w:r>
      <w:r>
        <w:rPr>
          <w:snapToGrid w:val="0"/>
          <w:lang w:val="es-MX"/>
        </w:rPr>
        <w:t>.</w:t>
      </w:r>
    </w:p>
    <w:p w:rsidR="008A1BE2" w:rsidRDefault="008A1BE2" w:rsidP="00DB53D2">
      <w:pPr>
        <w:jc w:val="both"/>
        <w:rPr>
          <w:rFonts w:ascii="Arial" w:hAnsi="Arial" w:cs="Arial"/>
          <w:b/>
        </w:rPr>
      </w:pPr>
    </w:p>
    <w:p w:rsidR="001B213D" w:rsidRDefault="001B213D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ALCANCE</w:t>
      </w:r>
    </w:p>
    <w:p w:rsidR="000F385F" w:rsidRDefault="000F385F" w:rsidP="00B50A97">
      <w:pPr>
        <w:ind w:firstLine="708"/>
        <w:jc w:val="both"/>
        <w:rPr>
          <w:rFonts w:ascii="Arial" w:hAnsi="Arial" w:cs="Arial"/>
          <w:lang w:val="es-MX"/>
        </w:rPr>
      </w:pPr>
    </w:p>
    <w:p w:rsidR="001B213D" w:rsidRPr="001B213D" w:rsidRDefault="001B213D" w:rsidP="00B50A97">
      <w:pPr>
        <w:ind w:firstLine="708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Estas políticas y procedimientos se aplican a todo el personal</w:t>
      </w:r>
      <w:r w:rsidR="0085635E">
        <w:rPr>
          <w:rFonts w:ascii="Arial" w:hAnsi="Arial" w:cs="Arial"/>
          <w:lang w:val="es-MX"/>
        </w:rPr>
        <w:t xml:space="preserve"> </w:t>
      </w:r>
      <w:r w:rsidR="000F385F">
        <w:rPr>
          <w:rFonts w:ascii="Arial" w:hAnsi="Arial" w:cs="Arial"/>
          <w:lang w:val="es-MX"/>
        </w:rPr>
        <w:t>de cada una de l</w:t>
      </w:r>
      <w:r w:rsidR="0085635E">
        <w:rPr>
          <w:rFonts w:ascii="Arial" w:hAnsi="Arial" w:cs="Arial"/>
          <w:lang w:val="es-MX"/>
        </w:rPr>
        <w:t xml:space="preserve">as coordinaciones del </w:t>
      </w:r>
      <w:r w:rsidR="00EF2039">
        <w:rPr>
          <w:rFonts w:ascii="Arial" w:hAnsi="Arial" w:cs="Arial"/>
          <w:lang w:val="es-MX"/>
        </w:rPr>
        <w:t>PPSI</w:t>
      </w:r>
      <w:r w:rsidR="00200A01">
        <w:rPr>
          <w:rFonts w:ascii="Arial" w:hAnsi="Arial" w:cs="Arial"/>
          <w:lang w:val="es-MX"/>
        </w:rPr>
        <w:t>,</w:t>
      </w:r>
      <w:r w:rsidR="0085635E">
        <w:rPr>
          <w:rFonts w:ascii="Arial" w:hAnsi="Arial" w:cs="Arial"/>
          <w:lang w:val="es-MX"/>
        </w:rPr>
        <w:t xml:space="preserve"> así como </w:t>
      </w:r>
      <w:r w:rsidR="00200A01">
        <w:rPr>
          <w:rFonts w:ascii="Arial" w:hAnsi="Arial" w:cs="Arial"/>
          <w:lang w:val="es-MX"/>
        </w:rPr>
        <w:t xml:space="preserve"> a</w:t>
      </w:r>
      <w:r w:rsidR="0085635E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 xml:space="preserve"> </w:t>
      </w:r>
      <w:r w:rsidR="004B6BB1">
        <w:rPr>
          <w:rFonts w:ascii="Arial" w:hAnsi="Arial" w:cs="Arial"/>
          <w:lang w:val="es-MX"/>
        </w:rPr>
        <w:t>CEI.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V. PROCEDIMIENTO</w:t>
      </w:r>
    </w:p>
    <w:p w:rsidR="00942695" w:rsidRDefault="00942695" w:rsidP="00DB53D2">
      <w:pPr>
        <w:jc w:val="both"/>
        <w:rPr>
          <w:rFonts w:ascii="Arial" w:hAnsi="Arial" w:cs="Arial"/>
          <w:b/>
        </w:rPr>
      </w:pPr>
    </w:p>
    <w:p w:rsidR="00942695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  <w:r w:rsidRPr="00B50A97">
        <w:rPr>
          <w:rFonts w:ascii="Arial" w:eastAsiaTheme="minorHAnsi" w:hAnsi="Arial" w:cs="Arial"/>
          <w:szCs w:val="19"/>
          <w:lang w:eastAsia="en-US"/>
        </w:rPr>
        <w:t>Con fund</w:t>
      </w:r>
      <w:r w:rsidR="00200A01">
        <w:rPr>
          <w:rFonts w:ascii="Arial" w:eastAsiaTheme="minorHAnsi" w:hAnsi="Arial" w:cs="Arial"/>
          <w:szCs w:val="19"/>
          <w:lang w:eastAsia="en-US"/>
        </w:rPr>
        <w:t>amento en lo dispuesto por los a</w:t>
      </w:r>
      <w:r w:rsidRPr="00B50A97">
        <w:rPr>
          <w:rFonts w:ascii="Arial" w:eastAsiaTheme="minorHAnsi" w:hAnsi="Arial" w:cs="Arial"/>
          <w:szCs w:val="19"/>
          <w:lang w:eastAsia="en-US"/>
        </w:rPr>
        <w:t>rtículos 13</w:t>
      </w:r>
      <w:r w:rsidR="00200A01">
        <w:rPr>
          <w:rFonts w:ascii="Arial" w:eastAsiaTheme="minorHAnsi" w:hAnsi="Arial" w:cs="Arial"/>
          <w:szCs w:val="19"/>
          <w:lang w:eastAsia="en-US"/>
        </w:rPr>
        <w:t>, inciso A, f</w:t>
      </w:r>
      <w:r w:rsidRPr="00B50A97">
        <w:rPr>
          <w:rFonts w:ascii="Arial" w:eastAsiaTheme="minorHAnsi" w:hAnsi="Arial" w:cs="Arial"/>
          <w:szCs w:val="19"/>
          <w:lang w:eastAsia="en-US"/>
        </w:rPr>
        <w:t>racci</w:t>
      </w:r>
      <w:r w:rsidR="00200A01">
        <w:rPr>
          <w:rFonts w:ascii="Arial" w:eastAsiaTheme="minorHAnsi" w:hAnsi="Arial" w:cs="Arial"/>
          <w:szCs w:val="19"/>
          <w:lang w:eastAsia="en-US"/>
        </w:rPr>
        <w:t>ones</w:t>
      </w:r>
      <w:r w:rsidRPr="00B50A97">
        <w:rPr>
          <w:rFonts w:ascii="Arial" w:eastAsiaTheme="minorHAnsi" w:hAnsi="Arial" w:cs="Arial"/>
          <w:szCs w:val="19"/>
          <w:lang w:eastAsia="en-US"/>
        </w:rPr>
        <w:t xml:space="preserve"> </w:t>
      </w:r>
      <w:r w:rsidR="00200A01">
        <w:rPr>
          <w:rFonts w:ascii="Arial" w:eastAsiaTheme="minorHAnsi" w:hAnsi="Arial" w:cs="Arial"/>
          <w:szCs w:val="19"/>
          <w:lang w:eastAsia="en-US"/>
        </w:rPr>
        <w:t>1</w:t>
      </w:r>
      <w:r w:rsidRPr="00B50A97">
        <w:rPr>
          <w:rFonts w:ascii="Arial" w:eastAsiaTheme="minorHAnsi" w:hAnsi="Arial" w:cs="Arial"/>
          <w:szCs w:val="19"/>
          <w:lang w:eastAsia="en-US"/>
        </w:rPr>
        <w:t>, 14 y 98 de la Ley General de</w:t>
      </w:r>
      <w:r w:rsidR="00200A01">
        <w:rPr>
          <w:rFonts w:ascii="Arial" w:eastAsiaTheme="minorHAnsi" w:hAnsi="Arial" w:cs="Arial"/>
          <w:szCs w:val="19"/>
          <w:lang w:eastAsia="en-US"/>
        </w:rPr>
        <w:t xml:space="preserve"> </w:t>
      </w:r>
      <w:r w:rsidRPr="00B50A97">
        <w:rPr>
          <w:rFonts w:ascii="Arial" w:eastAsiaTheme="minorHAnsi" w:hAnsi="Arial" w:cs="Arial"/>
          <w:szCs w:val="19"/>
          <w:lang w:eastAsia="en-US"/>
        </w:rPr>
        <w:t>Salud</w:t>
      </w:r>
      <w:r w:rsidR="00200A01">
        <w:rPr>
          <w:rFonts w:ascii="Arial" w:eastAsiaTheme="minorHAnsi" w:hAnsi="Arial" w:cs="Arial"/>
          <w:szCs w:val="19"/>
          <w:lang w:eastAsia="en-US"/>
        </w:rPr>
        <w:t>;</w:t>
      </w:r>
      <w:r w:rsidRPr="00B50A97">
        <w:rPr>
          <w:rFonts w:ascii="Arial" w:eastAsiaTheme="minorHAnsi" w:hAnsi="Arial" w:cs="Arial"/>
          <w:szCs w:val="19"/>
          <w:lang w:eastAsia="en-US"/>
        </w:rPr>
        <w:t xml:space="preserve"> </w:t>
      </w:r>
      <w:r w:rsidR="00200A01">
        <w:rPr>
          <w:rFonts w:ascii="Arial" w:eastAsiaTheme="minorHAnsi" w:hAnsi="Arial" w:cs="Arial"/>
          <w:szCs w:val="19"/>
          <w:lang w:eastAsia="en-US"/>
        </w:rPr>
        <w:t xml:space="preserve">el artículo </w:t>
      </w:r>
      <w:r w:rsidRPr="00B50A97">
        <w:rPr>
          <w:rFonts w:ascii="Arial" w:eastAsiaTheme="minorHAnsi" w:hAnsi="Arial" w:cs="Arial"/>
          <w:szCs w:val="19"/>
          <w:lang w:eastAsia="en-US"/>
        </w:rPr>
        <w:t>5</w:t>
      </w:r>
      <w:r w:rsidR="00200A01">
        <w:rPr>
          <w:rFonts w:ascii="Arial" w:eastAsiaTheme="minorHAnsi" w:hAnsi="Arial" w:cs="Arial"/>
          <w:szCs w:val="19"/>
          <w:lang w:eastAsia="en-US"/>
        </w:rPr>
        <w:t xml:space="preserve"> inciso A, fracciones</w:t>
      </w:r>
      <w:r w:rsidRPr="00B50A97">
        <w:rPr>
          <w:rFonts w:ascii="Arial" w:eastAsiaTheme="minorHAnsi" w:hAnsi="Arial" w:cs="Arial"/>
          <w:szCs w:val="19"/>
          <w:lang w:eastAsia="en-US"/>
        </w:rPr>
        <w:t xml:space="preserve"> 98 al 112 del Reglamento de la Ley General de Salud en Materia de Investigación</w:t>
      </w:r>
      <w:r>
        <w:rPr>
          <w:rFonts w:ascii="Arial" w:eastAsiaTheme="minorHAnsi" w:hAnsi="Arial" w:cs="Arial"/>
          <w:szCs w:val="19"/>
          <w:lang w:eastAsia="en-US"/>
        </w:rPr>
        <w:t xml:space="preserve"> para la Salud y </w:t>
      </w:r>
      <w:r w:rsidR="00200A01">
        <w:rPr>
          <w:rFonts w:ascii="Arial" w:eastAsiaTheme="minorHAnsi" w:hAnsi="Arial" w:cs="Arial"/>
          <w:szCs w:val="19"/>
          <w:lang w:eastAsia="en-US"/>
        </w:rPr>
        <w:t xml:space="preserve">el </w:t>
      </w:r>
      <w:r>
        <w:rPr>
          <w:rFonts w:ascii="Arial" w:eastAsiaTheme="minorHAnsi" w:hAnsi="Arial" w:cs="Arial"/>
          <w:szCs w:val="19"/>
          <w:lang w:eastAsia="en-US"/>
        </w:rPr>
        <w:t>Artículo 22</w:t>
      </w:r>
      <w:r w:rsidR="00DC54F0">
        <w:rPr>
          <w:rFonts w:ascii="Arial" w:eastAsiaTheme="minorHAnsi" w:hAnsi="Arial" w:cs="Arial"/>
          <w:szCs w:val="19"/>
          <w:lang w:eastAsia="en-US"/>
        </w:rPr>
        <w:t>,</w:t>
      </w:r>
      <w:r>
        <w:rPr>
          <w:rFonts w:ascii="Arial" w:eastAsiaTheme="minorHAnsi" w:hAnsi="Arial" w:cs="Arial"/>
          <w:szCs w:val="19"/>
          <w:lang w:eastAsia="en-US"/>
        </w:rPr>
        <w:t xml:space="preserve"> </w:t>
      </w:r>
      <w:r w:rsidR="00200A01">
        <w:rPr>
          <w:rFonts w:ascii="Arial" w:eastAsiaTheme="minorHAnsi" w:hAnsi="Arial" w:cs="Arial"/>
          <w:szCs w:val="19"/>
          <w:lang w:eastAsia="en-US"/>
        </w:rPr>
        <w:t xml:space="preserve">incisos </w:t>
      </w:r>
      <w:r w:rsidRPr="00B50A97">
        <w:rPr>
          <w:rFonts w:ascii="Arial" w:eastAsiaTheme="minorHAnsi" w:hAnsi="Arial" w:cs="Arial"/>
          <w:szCs w:val="19"/>
          <w:lang w:eastAsia="en-US"/>
        </w:rPr>
        <w:t>V y X del Reglamento Inter</w:t>
      </w:r>
      <w:r w:rsidR="00DC54F0">
        <w:rPr>
          <w:rFonts w:ascii="Arial" w:eastAsiaTheme="minorHAnsi" w:hAnsi="Arial" w:cs="Arial"/>
          <w:szCs w:val="19"/>
          <w:lang w:eastAsia="en-US"/>
        </w:rPr>
        <w:t>no</w:t>
      </w:r>
      <w:r w:rsidRPr="00B50A97">
        <w:rPr>
          <w:rFonts w:ascii="Arial" w:eastAsiaTheme="minorHAnsi" w:hAnsi="Arial" w:cs="Arial"/>
          <w:szCs w:val="19"/>
          <w:lang w:eastAsia="en-US"/>
        </w:rPr>
        <w:t xml:space="preserve"> de la Secretaría de Salud, </w:t>
      </w:r>
      <w:r w:rsidR="00DC54F0">
        <w:rPr>
          <w:rFonts w:ascii="Arial" w:eastAsiaTheme="minorHAnsi" w:hAnsi="Arial" w:cs="Arial"/>
          <w:szCs w:val="19"/>
          <w:lang w:eastAsia="en-US"/>
        </w:rPr>
        <w:t>se emite la</w:t>
      </w:r>
      <w:r w:rsidRPr="00B50A97">
        <w:rPr>
          <w:rFonts w:ascii="Arial" w:eastAsiaTheme="minorHAnsi" w:hAnsi="Arial" w:cs="Arial"/>
          <w:szCs w:val="19"/>
          <w:lang w:eastAsia="en-US"/>
        </w:rPr>
        <w:t xml:space="preserve"> norma técnica 315</w:t>
      </w:r>
      <w:r w:rsidR="00DC54F0">
        <w:rPr>
          <w:rFonts w:ascii="Arial" w:eastAsiaTheme="minorHAnsi" w:hAnsi="Arial" w:cs="Arial"/>
          <w:szCs w:val="19"/>
          <w:lang w:eastAsia="en-US"/>
        </w:rPr>
        <w:t>.  Para dar cumplimiento al artí</w:t>
      </w:r>
      <w:r w:rsidRPr="00B50A97">
        <w:rPr>
          <w:rFonts w:ascii="Arial" w:eastAsiaTheme="minorHAnsi" w:hAnsi="Arial" w:cs="Arial"/>
          <w:szCs w:val="19"/>
          <w:lang w:eastAsia="en-US"/>
        </w:rPr>
        <w:t>culo 4</w:t>
      </w:r>
      <w:r w:rsidR="00DC54F0">
        <w:rPr>
          <w:rFonts w:ascii="Arial" w:eastAsiaTheme="minorHAnsi" w:hAnsi="Arial" w:cs="Arial"/>
          <w:szCs w:val="19"/>
          <w:lang w:eastAsia="en-US"/>
        </w:rPr>
        <w:t>,</w:t>
      </w:r>
      <w:r w:rsidRPr="00B50A97">
        <w:rPr>
          <w:rFonts w:ascii="Arial" w:eastAsiaTheme="minorHAnsi" w:hAnsi="Arial" w:cs="Arial"/>
          <w:szCs w:val="19"/>
          <w:lang w:eastAsia="en-US"/>
        </w:rPr>
        <w:t xml:space="preserve"> capítulo 1</w:t>
      </w:r>
      <w:r w:rsidR="008D791F">
        <w:rPr>
          <w:rFonts w:ascii="Arial" w:eastAsiaTheme="minorHAnsi" w:hAnsi="Arial" w:cs="Arial"/>
          <w:szCs w:val="19"/>
          <w:lang w:eastAsia="en-US"/>
        </w:rPr>
        <w:t xml:space="preserve"> de esta norma, nuestro Comité elabora</w:t>
      </w:r>
      <w:r>
        <w:rPr>
          <w:rFonts w:ascii="Arial" w:eastAsiaTheme="minorHAnsi" w:hAnsi="Arial" w:cs="Arial"/>
          <w:szCs w:val="19"/>
          <w:lang w:eastAsia="en-US"/>
        </w:rPr>
        <w:t xml:space="preserve"> </w:t>
      </w:r>
      <w:r w:rsidR="00DC54F0">
        <w:rPr>
          <w:rFonts w:ascii="Arial" w:eastAsiaTheme="minorHAnsi" w:hAnsi="Arial" w:cs="Arial"/>
          <w:szCs w:val="19"/>
          <w:lang w:eastAsia="en-US"/>
        </w:rPr>
        <w:t>los</w:t>
      </w:r>
      <w:r>
        <w:rPr>
          <w:rFonts w:ascii="Arial" w:eastAsiaTheme="minorHAnsi" w:hAnsi="Arial" w:cs="Arial"/>
          <w:szCs w:val="19"/>
          <w:lang w:eastAsia="en-US"/>
        </w:rPr>
        <w:t xml:space="preserve"> siguiente</w:t>
      </w:r>
      <w:r w:rsidR="00DC54F0">
        <w:rPr>
          <w:rFonts w:ascii="Arial" w:eastAsiaTheme="minorHAnsi" w:hAnsi="Arial" w:cs="Arial"/>
          <w:szCs w:val="19"/>
          <w:lang w:eastAsia="en-US"/>
        </w:rPr>
        <w:t>s</w:t>
      </w:r>
      <w:r>
        <w:rPr>
          <w:rFonts w:ascii="Arial" w:eastAsiaTheme="minorHAnsi" w:hAnsi="Arial" w:cs="Arial"/>
          <w:szCs w:val="19"/>
          <w:lang w:eastAsia="en-US"/>
        </w:rPr>
        <w:t xml:space="preserve"> proceso</w:t>
      </w:r>
      <w:r w:rsidR="00DC54F0">
        <w:rPr>
          <w:rFonts w:ascii="Arial" w:eastAsiaTheme="minorHAnsi" w:hAnsi="Arial" w:cs="Arial"/>
          <w:szCs w:val="19"/>
          <w:lang w:eastAsia="en-US"/>
        </w:rPr>
        <w:t>s</w:t>
      </w:r>
      <w:r>
        <w:rPr>
          <w:rFonts w:ascii="Arial" w:eastAsiaTheme="minorHAnsi" w:hAnsi="Arial" w:cs="Arial"/>
          <w:szCs w:val="19"/>
          <w:lang w:eastAsia="en-US"/>
        </w:rPr>
        <w:t>.</w:t>
      </w:r>
    </w:p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8D791F" w:rsidRDefault="008D791F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8D791F" w:rsidRDefault="008D791F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87"/>
        <w:gridCol w:w="2268"/>
      </w:tblGrid>
      <w:tr w:rsidR="00B50A97" w:rsidTr="00DC54F0">
        <w:trPr>
          <w:cantSplit/>
          <w:trHeight w:val="660"/>
        </w:trPr>
        <w:tc>
          <w:tcPr>
            <w:tcW w:w="2250" w:type="dxa"/>
            <w:shd w:val="pct10" w:color="000000" w:fill="FFFFFF"/>
            <w:vAlign w:val="center"/>
          </w:tcPr>
          <w:p w:rsidR="00B50A97" w:rsidRDefault="00B50A97" w:rsidP="00DC54F0">
            <w:pPr>
              <w:pStyle w:val="procedurestablestyle"/>
              <w:tabs>
                <w:tab w:val="left" w:pos="1240"/>
              </w:tabs>
              <w:jc w:val="center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Quién</w:t>
            </w:r>
          </w:p>
        </w:tc>
        <w:tc>
          <w:tcPr>
            <w:tcW w:w="3987" w:type="dxa"/>
            <w:shd w:val="pct10" w:color="000000" w:fill="FFFFFF"/>
            <w:vAlign w:val="center"/>
          </w:tcPr>
          <w:p w:rsidR="00B50A97" w:rsidRDefault="00B50A97" w:rsidP="00DC54F0">
            <w:pPr>
              <w:pStyle w:val="procedurestablestyle"/>
              <w:jc w:val="center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Tarea</w:t>
            </w:r>
          </w:p>
        </w:tc>
        <w:tc>
          <w:tcPr>
            <w:tcW w:w="2268" w:type="dxa"/>
            <w:shd w:val="pct10" w:color="000000" w:fill="FFFFFF"/>
            <w:vAlign w:val="center"/>
          </w:tcPr>
          <w:p w:rsidR="00B50A97" w:rsidRDefault="00B50A97" w:rsidP="00DC54F0">
            <w:pPr>
              <w:pStyle w:val="procedurestablestyle"/>
              <w:jc w:val="center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Herramienta</w:t>
            </w:r>
          </w:p>
        </w:tc>
      </w:tr>
      <w:tr w:rsidR="00B50A97" w:rsidTr="00DC54F0">
        <w:trPr>
          <w:cantSplit/>
          <w:trHeight w:val="1832"/>
        </w:trPr>
        <w:tc>
          <w:tcPr>
            <w:tcW w:w="2250" w:type="dxa"/>
            <w:shd w:val="pct5" w:color="000000" w:fill="FFFFFF"/>
            <w:vAlign w:val="center"/>
          </w:tcPr>
          <w:p w:rsidR="00B50A97" w:rsidRDefault="004B6BB1" w:rsidP="00F03553">
            <w:pPr>
              <w:pStyle w:val="procedurestablestyle"/>
              <w:rPr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El Presidente del CEI</w:t>
            </w:r>
          </w:p>
        </w:tc>
        <w:tc>
          <w:tcPr>
            <w:tcW w:w="3987" w:type="dxa"/>
            <w:shd w:val="pct5" w:color="000000" w:fill="FFFFFF"/>
            <w:vAlign w:val="center"/>
          </w:tcPr>
          <w:p w:rsidR="00B50A97" w:rsidRDefault="00DC54F0" w:rsidP="00320A3B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Monitorear, a tr</w:t>
            </w:r>
            <w:r w:rsidR="00320A3B">
              <w:rPr>
                <w:sz w:val="20"/>
                <w:lang w:val="es-MX"/>
              </w:rPr>
              <w:t>a</w:t>
            </w:r>
            <w:r>
              <w:rPr>
                <w:sz w:val="20"/>
                <w:lang w:val="es-MX"/>
              </w:rPr>
              <w:t>v</w:t>
            </w:r>
            <w:r w:rsidR="00320A3B">
              <w:rPr>
                <w:sz w:val="20"/>
                <w:lang w:val="es-MX"/>
              </w:rPr>
              <w:t>é</w:t>
            </w:r>
            <w:r>
              <w:rPr>
                <w:sz w:val="20"/>
                <w:lang w:val="es-MX"/>
              </w:rPr>
              <w:t xml:space="preserve">s </w:t>
            </w:r>
            <w:r w:rsidR="00B50A97">
              <w:rPr>
                <w:sz w:val="20"/>
                <w:lang w:val="es-MX"/>
              </w:rPr>
              <w:t xml:space="preserve"> </w:t>
            </w:r>
            <w:r w:rsidR="00320A3B">
              <w:rPr>
                <w:sz w:val="20"/>
                <w:lang w:val="es-MX"/>
              </w:rPr>
              <w:t>de la hoja de trabajo de la r</w:t>
            </w:r>
            <w:r w:rsidR="00B50A97">
              <w:rPr>
                <w:sz w:val="20"/>
                <w:lang w:val="es-MX"/>
              </w:rPr>
              <w:t>evisión del SOP, las fuentes y contactos apropiados para la actualizaci</w:t>
            </w:r>
            <w:r w:rsidR="00320A3B">
              <w:rPr>
                <w:sz w:val="20"/>
                <w:lang w:val="es-MX"/>
              </w:rPr>
              <w:t xml:space="preserve">ón de </w:t>
            </w:r>
            <w:r w:rsidR="00B50A97">
              <w:rPr>
                <w:sz w:val="20"/>
                <w:lang w:val="es-MX"/>
              </w:rPr>
              <w:t>la</w:t>
            </w:r>
            <w:r w:rsidR="008012AA">
              <w:rPr>
                <w:sz w:val="20"/>
                <w:lang w:val="es-MX"/>
              </w:rPr>
              <w:t>s</w:t>
            </w:r>
            <w:r w:rsidR="00B50A97">
              <w:rPr>
                <w:sz w:val="20"/>
                <w:lang w:val="es-MX"/>
              </w:rPr>
              <w:t xml:space="preserve"> política</w:t>
            </w:r>
            <w:r w:rsidR="008012AA">
              <w:rPr>
                <w:sz w:val="20"/>
                <w:lang w:val="es-MX"/>
              </w:rPr>
              <w:t>s</w:t>
            </w:r>
            <w:r w:rsidR="00B50A97">
              <w:rPr>
                <w:sz w:val="20"/>
                <w:lang w:val="es-MX"/>
              </w:rPr>
              <w:t>, políticas de importancia que pueden necesitar revisiones e indican prioridad.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B50A97" w:rsidRDefault="00320A3B" w:rsidP="00F365F5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Hoj</w:t>
            </w:r>
            <w:r w:rsidR="00F365F5">
              <w:rPr>
                <w:sz w:val="20"/>
                <w:lang w:val="es-MX"/>
              </w:rPr>
              <w:t xml:space="preserve">a de trabajo de </w:t>
            </w:r>
            <w:r>
              <w:rPr>
                <w:sz w:val="20"/>
                <w:lang w:val="es-MX"/>
              </w:rPr>
              <w:t>r</w:t>
            </w:r>
            <w:r w:rsidR="00B50A97">
              <w:rPr>
                <w:sz w:val="20"/>
                <w:lang w:val="es-MX"/>
              </w:rPr>
              <w:t>evisión del SOP</w:t>
            </w:r>
          </w:p>
        </w:tc>
      </w:tr>
      <w:tr w:rsidR="00B50A97" w:rsidTr="009E2C74">
        <w:trPr>
          <w:cantSplit/>
          <w:trHeight w:val="944"/>
        </w:trPr>
        <w:tc>
          <w:tcPr>
            <w:tcW w:w="2250" w:type="dxa"/>
            <w:shd w:val="pct5" w:color="000000" w:fill="FFFFFF"/>
            <w:vAlign w:val="center"/>
          </w:tcPr>
          <w:p w:rsidR="00B50A97" w:rsidRDefault="004B6BB1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El Presidente del CEI</w:t>
            </w:r>
          </w:p>
        </w:tc>
        <w:tc>
          <w:tcPr>
            <w:tcW w:w="3987" w:type="dxa"/>
            <w:shd w:val="pct5" w:color="000000" w:fill="FFFFFF"/>
            <w:vAlign w:val="center"/>
          </w:tcPr>
          <w:p w:rsidR="00B50A97" w:rsidRDefault="00B50A97" w:rsidP="000A5F9B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En horario predeterminado, </w:t>
            </w:r>
            <w:r w:rsidR="000A5F9B">
              <w:rPr>
                <w:sz w:val="20"/>
                <w:lang w:val="es-MX"/>
              </w:rPr>
              <w:t>realizar una reunión para discutir los</w:t>
            </w:r>
            <w:r>
              <w:rPr>
                <w:sz w:val="20"/>
                <w:lang w:val="es-MX"/>
              </w:rPr>
              <w:t xml:space="preserve"> cambios </w:t>
            </w:r>
            <w:r w:rsidR="000A5F9B">
              <w:rPr>
                <w:sz w:val="20"/>
                <w:lang w:val="es-MX"/>
              </w:rPr>
              <w:t>en</w:t>
            </w:r>
            <w:r>
              <w:rPr>
                <w:sz w:val="20"/>
                <w:lang w:val="es-MX"/>
              </w:rPr>
              <w:t xml:space="preserve"> los SOPs.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B50A97" w:rsidRDefault="00B50A97" w:rsidP="00F365F5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Plantilla de </w:t>
            </w:r>
            <w:r w:rsidR="000A5F9B">
              <w:rPr>
                <w:sz w:val="20"/>
                <w:lang w:val="es-MX"/>
              </w:rPr>
              <w:t>R</w:t>
            </w:r>
            <w:r>
              <w:rPr>
                <w:sz w:val="20"/>
                <w:lang w:val="es-MX"/>
              </w:rPr>
              <w:t xml:space="preserve">eunión </w:t>
            </w:r>
            <w:r w:rsidR="00F365F5">
              <w:rPr>
                <w:sz w:val="20"/>
                <w:lang w:val="es-MX"/>
              </w:rPr>
              <w:t>para</w:t>
            </w:r>
            <w:r>
              <w:rPr>
                <w:sz w:val="20"/>
                <w:lang w:val="es-MX"/>
              </w:rPr>
              <w:t xml:space="preserve"> Revisión de </w:t>
            </w:r>
            <w:proofErr w:type="spellStart"/>
            <w:r>
              <w:rPr>
                <w:sz w:val="20"/>
                <w:lang w:val="es-MX"/>
              </w:rPr>
              <w:t>SOP</w:t>
            </w:r>
            <w:r w:rsidR="000A5F9B">
              <w:rPr>
                <w:sz w:val="20"/>
                <w:lang w:val="es-MX"/>
              </w:rPr>
              <w:t>s</w:t>
            </w:r>
            <w:proofErr w:type="spellEnd"/>
          </w:p>
        </w:tc>
      </w:tr>
      <w:tr w:rsidR="00B50A97" w:rsidTr="009E2C74">
        <w:trPr>
          <w:cantSplit/>
          <w:trHeight w:val="1127"/>
        </w:trPr>
        <w:tc>
          <w:tcPr>
            <w:tcW w:w="2250" w:type="dxa"/>
            <w:shd w:val="pct5" w:color="000000" w:fill="FFFFFF"/>
            <w:vAlign w:val="center"/>
          </w:tcPr>
          <w:p w:rsidR="00B50A97" w:rsidRDefault="004B6BB1" w:rsidP="004B6BB1">
            <w:pPr>
              <w:pStyle w:val="procedurestablestyle"/>
              <w:rPr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 xml:space="preserve">El Presidente del CEI </w:t>
            </w:r>
            <w:r w:rsidR="00B50A97">
              <w:rPr>
                <w:i/>
                <w:sz w:val="20"/>
                <w:lang w:val="es-MX"/>
              </w:rPr>
              <w:t>Miembros del C</w:t>
            </w:r>
            <w:r>
              <w:rPr>
                <w:i/>
                <w:sz w:val="20"/>
                <w:lang w:val="es-MX"/>
              </w:rPr>
              <w:t>EI</w:t>
            </w:r>
            <w:r w:rsidR="00B50A97">
              <w:rPr>
                <w:i/>
                <w:sz w:val="20"/>
                <w:lang w:val="es-MX"/>
              </w:rPr>
              <w:t xml:space="preserve"> </w:t>
            </w:r>
          </w:p>
        </w:tc>
        <w:tc>
          <w:tcPr>
            <w:tcW w:w="3987" w:type="dxa"/>
            <w:shd w:val="pct5" w:color="000000" w:fill="FFFFFF"/>
            <w:vAlign w:val="center"/>
          </w:tcPr>
          <w:p w:rsidR="00B50A97" w:rsidRDefault="00B50A97" w:rsidP="000A5F9B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Discut</w:t>
            </w:r>
            <w:r w:rsidR="000A5F9B">
              <w:rPr>
                <w:sz w:val="20"/>
                <w:lang w:val="es-MX"/>
              </w:rPr>
              <w:t>ir los cambios y determinar</w:t>
            </w:r>
            <w:r>
              <w:rPr>
                <w:sz w:val="20"/>
                <w:lang w:val="es-MX"/>
              </w:rPr>
              <w:t xml:space="preserve"> si los procedimientos adicionales </w:t>
            </w:r>
            <w:r w:rsidR="000A5F9B">
              <w:rPr>
                <w:sz w:val="20"/>
                <w:lang w:val="es-MX"/>
              </w:rPr>
              <w:t xml:space="preserve">son requeridos </w:t>
            </w:r>
            <w:r>
              <w:rPr>
                <w:sz w:val="20"/>
                <w:lang w:val="es-MX"/>
              </w:rPr>
              <w:t>o si los formatos necesitan revisiones.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</w:p>
        </w:tc>
      </w:tr>
      <w:tr w:rsidR="00B50A97" w:rsidTr="00DC54F0">
        <w:trPr>
          <w:cantSplit/>
        </w:trPr>
        <w:tc>
          <w:tcPr>
            <w:tcW w:w="2250" w:type="dxa"/>
            <w:shd w:val="pct5" w:color="000000" w:fill="FFFFFF"/>
            <w:vAlign w:val="center"/>
          </w:tcPr>
          <w:p w:rsidR="00B50A97" w:rsidRDefault="004B6BB1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 xml:space="preserve">El Presidente del CEI </w:t>
            </w:r>
            <w:r w:rsidR="00B50A97">
              <w:rPr>
                <w:i/>
                <w:sz w:val="20"/>
                <w:lang w:val="es-MX"/>
              </w:rPr>
              <w:t>Coordinado</w:t>
            </w:r>
            <w:r w:rsidR="000A5F9B">
              <w:rPr>
                <w:i/>
                <w:sz w:val="20"/>
                <w:lang w:val="es-MX"/>
              </w:rPr>
              <w:t>r de Asuntos R</w:t>
            </w:r>
            <w:r w:rsidR="003D4494">
              <w:rPr>
                <w:i/>
                <w:sz w:val="20"/>
                <w:lang w:val="es-MX"/>
              </w:rPr>
              <w:t>egulatorios.</w:t>
            </w:r>
          </w:p>
        </w:tc>
        <w:tc>
          <w:tcPr>
            <w:tcW w:w="3987" w:type="dxa"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Revise políticas y/o procedimientos.</w:t>
            </w:r>
          </w:p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Revise formatos</w:t>
            </w:r>
            <w:r w:rsidR="000A5F9B">
              <w:rPr>
                <w:sz w:val="20"/>
                <w:lang w:val="es-MX"/>
              </w:rPr>
              <w:t>,</w:t>
            </w:r>
            <w:r>
              <w:rPr>
                <w:sz w:val="20"/>
                <w:lang w:val="es-MX"/>
              </w:rPr>
              <w:t xml:space="preserve"> de ser necesario.</w:t>
            </w:r>
          </w:p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Seguimiento de cambios.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Plantilla de SOP</w:t>
            </w:r>
          </w:p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Registro de </w:t>
            </w:r>
            <w:r w:rsidR="00F365F5">
              <w:rPr>
                <w:sz w:val="20"/>
                <w:lang w:val="es-MX"/>
              </w:rPr>
              <w:t>R</w:t>
            </w:r>
            <w:r>
              <w:rPr>
                <w:sz w:val="20"/>
                <w:lang w:val="es-MX"/>
              </w:rPr>
              <w:t>evisión del SOP</w:t>
            </w:r>
          </w:p>
          <w:p w:rsidR="00B50A97" w:rsidRDefault="00B50A97" w:rsidP="009E2C74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Formato de Registro de Revisión</w:t>
            </w:r>
          </w:p>
        </w:tc>
      </w:tr>
      <w:tr w:rsidR="00B50A97" w:rsidTr="00DC54F0">
        <w:trPr>
          <w:cantSplit/>
          <w:trHeight w:val="754"/>
        </w:trPr>
        <w:tc>
          <w:tcPr>
            <w:tcW w:w="2250" w:type="dxa"/>
            <w:vMerge w:val="restart"/>
            <w:shd w:val="pct5" w:color="000000" w:fill="FFFFFF"/>
            <w:vAlign w:val="center"/>
          </w:tcPr>
          <w:p w:rsidR="006726E5" w:rsidRDefault="004B6BB1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El Presidente del CEI</w:t>
            </w:r>
          </w:p>
        </w:tc>
        <w:tc>
          <w:tcPr>
            <w:tcW w:w="3987" w:type="dxa"/>
            <w:shd w:val="pct5" w:color="000000" w:fill="FFFFFF"/>
            <w:vAlign w:val="center"/>
          </w:tcPr>
          <w:p w:rsidR="00B50A97" w:rsidRDefault="00B50A97" w:rsidP="009E2C74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Firma</w:t>
            </w:r>
            <w:r w:rsidR="009E2C74">
              <w:rPr>
                <w:sz w:val="20"/>
                <w:lang w:val="es-MX"/>
              </w:rPr>
              <w:t>r</w:t>
            </w:r>
            <w:r>
              <w:rPr>
                <w:sz w:val="20"/>
                <w:lang w:val="es-MX"/>
              </w:rPr>
              <w:t xml:space="preserve"> política</w:t>
            </w:r>
            <w:r w:rsidR="008012AA">
              <w:rPr>
                <w:sz w:val="20"/>
                <w:lang w:val="es-MX"/>
              </w:rPr>
              <w:t>s</w:t>
            </w:r>
            <w:r>
              <w:rPr>
                <w:sz w:val="20"/>
                <w:lang w:val="es-MX"/>
              </w:rPr>
              <w:t xml:space="preserve"> revisada</w:t>
            </w:r>
            <w:r w:rsidR="008012AA">
              <w:rPr>
                <w:sz w:val="20"/>
                <w:lang w:val="es-MX"/>
              </w:rPr>
              <w:t>s</w:t>
            </w:r>
            <w:r>
              <w:rPr>
                <w:sz w:val="20"/>
                <w:lang w:val="es-MX"/>
              </w:rPr>
              <w:t>, si es apropiado.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</w:p>
        </w:tc>
      </w:tr>
      <w:tr w:rsidR="00B50A97" w:rsidTr="00DC54F0">
        <w:trPr>
          <w:cantSplit/>
          <w:trHeight w:val="849"/>
        </w:trPr>
        <w:tc>
          <w:tcPr>
            <w:tcW w:w="2250" w:type="dxa"/>
            <w:vMerge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</w:p>
        </w:tc>
        <w:tc>
          <w:tcPr>
            <w:tcW w:w="3987" w:type="dxa"/>
            <w:shd w:val="pct5" w:color="000000" w:fill="FFFFFF"/>
            <w:vAlign w:val="center"/>
          </w:tcPr>
          <w:p w:rsidR="00B50A97" w:rsidRDefault="00B50A97" w:rsidP="008012AA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Actualice la y archive los documentos de la</w:t>
            </w:r>
            <w:r w:rsidR="008012AA">
              <w:rPr>
                <w:sz w:val="20"/>
                <w:lang w:val="es-MX"/>
              </w:rPr>
              <w:t>s</w:t>
            </w:r>
            <w:r>
              <w:rPr>
                <w:sz w:val="20"/>
                <w:lang w:val="es-MX"/>
              </w:rPr>
              <w:t xml:space="preserve"> política</w:t>
            </w:r>
            <w:r w:rsidR="008012AA">
              <w:rPr>
                <w:sz w:val="20"/>
                <w:lang w:val="es-MX"/>
              </w:rPr>
              <w:t>s</w:t>
            </w:r>
            <w:r>
              <w:rPr>
                <w:sz w:val="20"/>
                <w:lang w:val="es-MX"/>
              </w:rPr>
              <w:t xml:space="preserve"> anterior</w:t>
            </w:r>
            <w:r w:rsidR="008012AA">
              <w:rPr>
                <w:sz w:val="20"/>
                <w:lang w:val="es-MX"/>
              </w:rPr>
              <w:t>es</w:t>
            </w:r>
            <w:r>
              <w:rPr>
                <w:sz w:val="20"/>
                <w:lang w:val="es-MX"/>
              </w:rPr>
              <w:t>.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</w:p>
        </w:tc>
      </w:tr>
      <w:tr w:rsidR="00B50A97" w:rsidTr="00DC54F0">
        <w:trPr>
          <w:cantSplit/>
        </w:trPr>
        <w:tc>
          <w:tcPr>
            <w:tcW w:w="2250" w:type="dxa"/>
            <w:vMerge w:val="restart"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i/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 xml:space="preserve">Coordinador </w:t>
            </w:r>
            <w:r w:rsidR="003D4494">
              <w:rPr>
                <w:i/>
                <w:sz w:val="20"/>
                <w:lang w:val="es-MX"/>
              </w:rPr>
              <w:t>de Control de Calidad</w:t>
            </w:r>
          </w:p>
          <w:p w:rsidR="00B50A97" w:rsidRDefault="00B50A97" w:rsidP="00DC54F0">
            <w:pPr>
              <w:pStyle w:val="procedurestablestyle"/>
              <w:rPr>
                <w:i/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>Secretaria Asistente</w:t>
            </w:r>
          </w:p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</w:p>
        </w:tc>
        <w:tc>
          <w:tcPr>
            <w:tcW w:w="3987" w:type="dxa"/>
            <w:shd w:val="pct5" w:color="000000" w:fill="FFFFFF"/>
            <w:vAlign w:val="center"/>
          </w:tcPr>
          <w:p w:rsidR="00B50A97" w:rsidRDefault="000665BF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Notificar</w:t>
            </w:r>
            <w:r w:rsidR="00B50A97">
              <w:rPr>
                <w:sz w:val="20"/>
                <w:lang w:val="es-MX"/>
              </w:rPr>
              <w:t xml:space="preserve"> a</w:t>
            </w:r>
            <w:r>
              <w:rPr>
                <w:sz w:val="20"/>
                <w:lang w:val="es-MX"/>
              </w:rPr>
              <w:t xml:space="preserve"> </w:t>
            </w:r>
            <w:r w:rsidR="00B50A97">
              <w:rPr>
                <w:sz w:val="20"/>
                <w:lang w:val="es-MX"/>
              </w:rPr>
              <w:t>l</w:t>
            </w:r>
            <w:r>
              <w:rPr>
                <w:sz w:val="20"/>
                <w:lang w:val="es-MX"/>
              </w:rPr>
              <w:t>a</w:t>
            </w:r>
            <w:r w:rsidR="00B50A97">
              <w:rPr>
                <w:sz w:val="20"/>
                <w:lang w:val="es-MX"/>
              </w:rPr>
              <w:t xml:space="preserve"> </w:t>
            </w:r>
            <w:r>
              <w:rPr>
                <w:sz w:val="20"/>
                <w:lang w:val="es-MX"/>
              </w:rPr>
              <w:t xml:space="preserve">secretaria asistente y al </w:t>
            </w:r>
            <w:r w:rsidR="00B50A97">
              <w:rPr>
                <w:sz w:val="20"/>
                <w:lang w:val="es-MX"/>
              </w:rPr>
              <w:t xml:space="preserve">personal de Tecnología e Información para realizar cambios en el sistema electrónico y para archivar la versión anterior.  </w:t>
            </w:r>
          </w:p>
          <w:p w:rsidR="00621DE6" w:rsidRDefault="00621DE6" w:rsidP="00DC54F0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Informar a través del siti</w:t>
            </w:r>
            <w:r w:rsidR="006F530C">
              <w:rPr>
                <w:sz w:val="20"/>
                <w:lang w:val="es-MX"/>
              </w:rPr>
              <w:t xml:space="preserve">o WEB de los cambios de los </w:t>
            </w:r>
            <w:proofErr w:type="spellStart"/>
            <w:r w:rsidR="006F530C">
              <w:rPr>
                <w:sz w:val="20"/>
                <w:lang w:val="es-MX"/>
              </w:rPr>
              <w:t>SOPs</w:t>
            </w:r>
            <w:proofErr w:type="spellEnd"/>
          </w:p>
        </w:tc>
        <w:tc>
          <w:tcPr>
            <w:tcW w:w="2268" w:type="dxa"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</w:p>
        </w:tc>
      </w:tr>
      <w:tr w:rsidR="00B50A97" w:rsidTr="00DC54F0">
        <w:trPr>
          <w:cantSplit/>
        </w:trPr>
        <w:tc>
          <w:tcPr>
            <w:tcW w:w="2250" w:type="dxa"/>
            <w:vMerge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</w:p>
        </w:tc>
        <w:tc>
          <w:tcPr>
            <w:tcW w:w="3987" w:type="dxa"/>
            <w:shd w:val="pct5" w:color="000000" w:fill="FFFFFF"/>
            <w:vAlign w:val="center"/>
          </w:tcPr>
          <w:p w:rsidR="00B50A97" w:rsidRDefault="00B50A97" w:rsidP="006F530C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Substitu</w:t>
            </w:r>
            <w:r w:rsidR="006F530C">
              <w:rPr>
                <w:sz w:val="20"/>
                <w:lang w:val="es-MX"/>
              </w:rPr>
              <w:t xml:space="preserve">ir </w:t>
            </w:r>
            <w:r>
              <w:rPr>
                <w:sz w:val="20"/>
                <w:lang w:val="es-MX"/>
              </w:rPr>
              <w:t>y archiv</w:t>
            </w:r>
            <w:r w:rsidR="006F530C">
              <w:rPr>
                <w:sz w:val="20"/>
                <w:lang w:val="es-MX"/>
              </w:rPr>
              <w:t>ar</w:t>
            </w:r>
            <w:r>
              <w:rPr>
                <w:sz w:val="20"/>
                <w:lang w:val="es-MX"/>
              </w:rPr>
              <w:t xml:space="preserve"> las copias de las secciones obsoletas.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</w:p>
        </w:tc>
      </w:tr>
      <w:tr w:rsidR="00B50A97" w:rsidTr="00DC54F0">
        <w:trPr>
          <w:cantSplit/>
        </w:trPr>
        <w:tc>
          <w:tcPr>
            <w:tcW w:w="2250" w:type="dxa"/>
            <w:vMerge/>
            <w:shd w:val="pct5" w:color="000000" w:fill="FFFFFF"/>
            <w:vAlign w:val="center"/>
          </w:tcPr>
          <w:p w:rsidR="00B50A97" w:rsidRDefault="00B50A97" w:rsidP="00DC54F0">
            <w:pPr>
              <w:pStyle w:val="procedurestablestyle"/>
              <w:rPr>
                <w:sz w:val="20"/>
                <w:lang w:val="es-MX"/>
              </w:rPr>
            </w:pPr>
          </w:p>
        </w:tc>
        <w:tc>
          <w:tcPr>
            <w:tcW w:w="3987" w:type="dxa"/>
            <w:shd w:val="pct5" w:color="000000" w:fill="FFFFFF"/>
            <w:vAlign w:val="center"/>
          </w:tcPr>
          <w:p w:rsidR="00B50A97" w:rsidRDefault="00B50A97" w:rsidP="006F530C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Notifi</w:t>
            </w:r>
            <w:r w:rsidR="006F530C">
              <w:rPr>
                <w:sz w:val="20"/>
                <w:lang w:val="es-MX"/>
              </w:rPr>
              <w:t>car</w:t>
            </w:r>
            <w:r>
              <w:rPr>
                <w:sz w:val="20"/>
                <w:lang w:val="es-MX"/>
              </w:rPr>
              <w:t xml:space="preserve"> a comunidad de investigación y distribu</w:t>
            </w:r>
            <w:r w:rsidR="006F530C">
              <w:rPr>
                <w:sz w:val="20"/>
                <w:lang w:val="es-MX"/>
              </w:rPr>
              <w:t>ir</w:t>
            </w:r>
            <w:r>
              <w:rPr>
                <w:sz w:val="20"/>
                <w:lang w:val="es-MX"/>
              </w:rPr>
              <w:t xml:space="preserve"> los nuevos SOPs y formatos según lo necesitado.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B50A97" w:rsidRDefault="006F530C" w:rsidP="006F530C">
            <w:pPr>
              <w:pStyle w:val="procedurestablestyle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Notificación de c</w:t>
            </w:r>
            <w:r w:rsidR="00B50A97">
              <w:rPr>
                <w:sz w:val="20"/>
                <w:lang w:val="es-MX"/>
              </w:rPr>
              <w:t xml:space="preserve">ambios </w:t>
            </w:r>
            <w:r>
              <w:rPr>
                <w:sz w:val="20"/>
                <w:lang w:val="es-MX"/>
              </w:rPr>
              <w:t>en los</w:t>
            </w:r>
            <w:r w:rsidR="00B50A97">
              <w:rPr>
                <w:sz w:val="20"/>
                <w:lang w:val="es-MX"/>
              </w:rPr>
              <w:t xml:space="preserve"> </w:t>
            </w:r>
            <w:proofErr w:type="spellStart"/>
            <w:r w:rsidR="00B50A97">
              <w:rPr>
                <w:sz w:val="20"/>
                <w:lang w:val="es-MX"/>
              </w:rPr>
              <w:t>SOP</w:t>
            </w:r>
            <w:r>
              <w:rPr>
                <w:sz w:val="20"/>
                <w:lang w:val="es-MX"/>
              </w:rPr>
              <w:t>’s</w:t>
            </w:r>
            <w:proofErr w:type="spellEnd"/>
          </w:p>
        </w:tc>
      </w:tr>
    </w:tbl>
    <w:p w:rsidR="00B50A97" w:rsidRP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VI. MATERIALES</w:t>
      </w:r>
    </w:p>
    <w:p w:rsidR="003D3DE3" w:rsidRDefault="003D3DE3" w:rsidP="00DB53D2">
      <w:pPr>
        <w:jc w:val="both"/>
        <w:rPr>
          <w:rFonts w:ascii="Arial" w:hAnsi="Arial" w:cs="Arial"/>
          <w:b/>
        </w:rPr>
      </w:pPr>
    </w:p>
    <w:p w:rsidR="006F530C" w:rsidRPr="00F365F5" w:rsidRDefault="00021B29" w:rsidP="00F365F5">
      <w:pPr>
        <w:pStyle w:val="procedurestablestyle"/>
        <w:ind w:left="288"/>
        <w:jc w:val="both"/>
        <w:rPr>
          <w:szCs w:val="24"/>
          <w:lang w:val="es-MX"/>
        </w:rPr>
      </w:pPr>
      <w:r>
        <w:rPr>
          <w:lang w:val="es-MX"/>
        </w:rPr>
        <w:t>F-GA-</w:t>
      </w:r>
      <w:r w:rsidR="004877B8">
        <w:rPr>
          <w:lang w:val="es-MX"/>
        </w:rPr>
        <w:t>101-A</w:t>
      </w:r>
      <w:r>
        <w:rPr>
          <w:lang w:val="es-MX"/>
        </w:rPr>
        <w:t>-05</w:t>
      </w:r>
      <w:r w:rsidR="004877B8">
        <w:rPr>
          <w:lang w:val="es-MX"/>
        </w:rPr>
        <w:t xml:space="preserve"> </w:t>
      </w:r>
      <w:r w:rsidR="006F530C" w:rsidRPr="00F365F5">
        <w:rPr>
          <w:szCs w:val="24"/>
          <w:lang w:val="es-MX"/>
        </w:rPr>
        <w:t>Hoja de trabajo de revisión del SOP</w:t>
      </w:r>
    </w:p>
    <w:p w:rsidR="004E6AB4" w:rsidRDefault="00942520" w:rsidP="00B50A97">
      <w:pPr>
        <w:pStyle w:val="level1bodystyle"/>
        <w:ind w:left="288"/>
        <w:jc w:val="both"/>
        <w:rPr>
          <w:lang w:val="es-MX"/>
        </w:rPr>
      </w:pPr>
      <w:r w:rsidRPr="00942520">
        <w:rPr>
          <w:lang w:val="es-MX"/>
        </w:rPr>
        <w:t>F-GA-101-B-05</w:t>
      </w:r>
      <w:r>
        <w:rPr>
          <w:lang w:val="es-MX"/>
        </w:rPr>
        <w:t xml:space="preserve"> </w:t>
      </w:r>
      <w:r w:rsidR="00F365F5" w:rsidRPr="00F365F5">
        <w:rPr>
          <w:szCs w:val="24"/>
          <w:lang w:val="es-MX"/>
        </w:rPr>
        <w:t xml:space="preserve">Plantilla de Reunión para Revisión de </w:t>
      </w:r>
      <w:proofErr w:type="spellStart"/>
      <w:r w:rsidR="00F365F5" w:rsidRPr="00F365F5">
        <w:rPr>
          <w:szCs w:val="24"/>
          <w:lang w:val="es-MX"/>
        </w:rPr>
        <w:t>SOPs</w:t>
      </w:r>
      <w:proofErr w:type="spellEnd"/>
    </w:p>
    <w:p w:rsidR="00C1117B" w:rsidRPr="00C1117B" w:rsidRDefault="00C1117B" w:rsidP="00C1117B">
      <w:pPr>
        <w:pStyle w:val="procedurestablestyle"/>
        <w:jc w:val="both"/>
        <w:rPr>
          <w:lang w:val="es-MX"/>
        </w:rPr>
      </w:pPr>
      <w:r>
        <w:rPr>
          <w:lang w:val="es-MX"/>
        </w:rPr>
        <w:t xml:space="preserve">   </w:t>
      </w:r>
      <w:r w:rsidR="00942520">
        <w:rPr>
          <w:lang w:val="es-MX"/>
        </w:rPr>
        <w:t xml:space="preserve"> </w:t>
      </w:r>
      <w:r w:rsidR="00942520" w:rsidRPr="00942520">
        <w:rPr>
          <w:lang w:val="es-MX"/>
        </w:rPr>
        <w:t>F-GA-101-C-05</w:t>
      </w:r>
      <w:r w:rsidR="00942520" w:rsidRPr="00C1117B">
        <w:rPr>
          <w:lang w:val="es-MX"/>
        </w:rPr>
        <w:t xml:space="preserve"> </w:t>
      </w:r>
      <w:r w:rsidRPr="00C1117B">
        <w:rPr>
          <w:lang w:val="es-MX"/>
        </w:rPr>
        <w:t>Bitácora de Revisión de cambios de políticas</w:t>
      </w:r>
    </w:p>
    <w:p w:rsidR="00B50A97" w:rsidRPr="00C1117B" w:rsidRDefault="00021B29" w:rsidP="00C1117B">
      <w:pPr>
        <w:pStyle w:val="procedurestablestyle"/>
        <w:ind w:left="288"/>
        <w:jc w:val="both"/>
        <w:rPr>
          <w:lang w:val="es-MX"/>
        </w:rPr>
      </w:pPr>
      <w:r>
        <w:rPr>
          <w:lang w:val="es-MX"/>
        </w:rPr>
        <w:t>F-GA-101</w:t>
      </w:r>
      <w:r w:rsidR="00B50A97">
        <w:rPr>
          <w:lang w:val="es-MX"/>
        </w:rPr>
        <w:t>-</w:t>
      </w:r>
      <w:r w:rsidR="00B50A97" w:rsidRPr="00C1117B">
        <w:rPr>
          <w:lang w:val="es-MX"/>
        </w:rPr>
        <w:t>D</w:t>
      </w:r>
      <w:r w:rsidR="00C1117B">
        <w:rPr>
          <w:lang w:val="es-MX"/>
        </w:rPr>
        <w:t>-05</w:t>
      </w:r>
      <w:r w:rsidR="00B50A97" w:rsidRPr="00C1117B">
        <w:rPr>
          <w:lang w:val="es-MX"/>
        </w:rPr>
        <w:t xml:space="preserve"> </w:t>
      </w:r>
      <w:r w:rsidR="00C1117B">
        <w:rPr>
          <w:lang w:val="es-MX"/>
        </w:rPr>
        <w:t>Bitácora de Revisión de cambio de formatos</w:t>
      </w:r>
    </w:p>
    <w:p w:rsidR="00B50A97" w:rsidRPr="00F365F5" w:rsidRDefault="00021B29" w:rsidP="00F365F5">
      <w:pPr>
        <w:pStyle w:val="procedurestablestyle"/>
        <w:ind w:left="288"/>
        <w:rPr>
          <w:szCs w:val="24"/>
          <w:lang w:val="es-MX"/>
        </w:rPr>
      </w:pPr>
      <w:r>
        <w:rPr>
          <w:lang w:val="es-MX"/>
        </w:rPr>
        <w:t>F-GA-101</w:t>
      </w:r>
      <w:r w:rsidR="00B50A97" w:rsidRPr="00F365F5">
        <w:rPr>
          <w:szCs w:val="24"/>
          <w:lang w:val="es-MX"/>
        </w:rPr>
        <w:t>-E</w:t>
      </w:r>
      <w:r w:rsidR="00C1117B">
        <w:rPr>
          <w:szCs w:val="24"/>
          <w:lang w:val="es-MX"/>
        </w:rPr>
        <w:t>-05</w:t>
      </w:r>
      <w:r w:rsidR="00B50A97" w:rsidRPr="00F365F5">
        <w:rPr>
          <w:szCs w:val="24"/>
          <w:lang w:val="es-MX"/>
        </w:rPr>
        <w:t xml:space="preserve"> </w:t>
      </w:r>
      <w:r w:rsidR="00F365F5" w:rsidRPr="00F365F5">
        <w:rPr>
          <w:szCs w:val="24"/>
          <w:lang w:val="es-MX"/>
        </w:rPr>
        <w:t>Plantilla de SOP</w:t>
      </w:r>
    </w:p>
    <w:p w:rsidR="00B50A97" w:rsidRDefault="00021B29" w:rsidP="00B50A97">
      <w:pPr>
        <w:pStyle w:val="level1bodystyle"/>
        <w:ind w:left="288"/>
        <w:jc w:val="both"/>
        <w:rPr>
          <w:lang w:val="es-MX"/>
        </w:rPr>
      </w:pPr>
      <w:r>
        <w:rPr>
          <w:lang w:val="es-MX"/>
        </w:rPr>
        <w:t>F-GA-101</w:t>
      </w:r>
      <w:r w:rsidR="00B50A97">
        <w:rPr>
          <w:lang w:val="es-MX"/>
        </w:rPr>
        <w:t>-F</w:t>
      </w:r>
      <w:r w:rsidR="00C1117B">
        <w:rPr>
          <w:lang w:val="es-MX"/>
        </w:rPr>
        <w:t>-05</w:t>
      </w:r>
      <w:r w:rsidR="00B50A97">
        <w:rPr>
          <w:lang w:val="es-MX"/>
        </w:rPr>
        <w:t xml:space="preserve"> </w:t>
      </w:r>
      <w:r w:rsidR="00F365F5" w:rsidRPr="00F365F5">
        <w:rPr>
          <w:szCs w:val="24"/>
          <w:lang w:val="es-MX"/>
        </w:rPr>
        <w:t xml:space="preserve">Notificación de cambios en los </w:t>
      </w:r>
      <w:proofErr w:type="spellStart"/>
      <w:r w:rsidR="00F365F5" w:rsidRPr="00F365F5">
        <w:rPr>
          <w:szCs w:val="24"/>
          <w:lang w:val="es-MX"/>
        </w:rPr>
        <w:t>SOPs</w:t>
      </w:r>
      <w:proofErr w:type="spellEnd"/>
      <w:r w:rsidR="00EF6C23" w:rsidRPr="00F365F5">
        <w:rPr>
          <w:szCs w:val="24"/>
          <w:lang w:val="es-MX"/>
        </w:rPr>
        <w:t>.</w:t>
      </w:r>
    </w:p>
    <w:p w:rsidR="00B50A97" w:rsidRDefault="00B50A97" w:rsidP="00DB53D2">
      <w:pPr>
        <w:jc w:val="both"/>
        <w:rPr>
          <w:rFonts w:ascii="Arial" w:hAnsi="Arial" w:cs="Arial"/>
          <w:b/>
        </w:rPr>
      </w:pPr>
    </w:p>
    <w:p w:rsidR="00830631" w:rsidRDefault="00F365F5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LIGAS DE INTÉ</w:t>
      </w:r>
      <w:r w:rsidR="00830631">
        <w:rPr>
          <w:rFonts w:ascii="Arial" w:hAnsi="Arial" w:cs="Arial"/>
          <w:b/>
        </w:rPr>
        <w:t>RES</w:t>
      </w:r>
      <w:r w:rsidR="002E2FEC">
        <w:rPr>
          <w:rFonts w:ascii="Arial" w:hAnsi="Arial" w:cs="Arial"/>
          <w:b/>
        </w:rPr>
        <w:t xml:space="preserve"> O DE DESCARGA</w:t>
      </w:r>
    </w:p>
    <w:p w:rsidR="00CB37E8" w:rsidRDefault="00CB37E8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VII.1 </w:t>
      </w:r>
      <w:r w:rsidR="003D3DE3">
        <w:rPr>
          <w:rFonts w:ascii="Arial" w:hAnsi="Arial" w:cs="Arial"/>
        </w:rPr>
        <w:t>Descargas de las diferentes</w:t>
      </w:r>
      <w:r>
        <w:rPr>
          <w:rFonts w:ascii="Arial" w:hAnsi="Arial" w:cs="Arial"/>
        </w:rPr>
        <w:t xml:space="preserve"> regulaciones:</w:t>
      </w:r>
    </w:p>
    <w:p w:rsidR="00CB37E8" w:rsidRPr="00C1117B" w:rsidRDefault="003A7DFB" w:rsidP="00DB53D2">
      <w:pPr>
        <w:ind w:firstLine="708"/>
        <w:jc w:val="both"/>
        <w:rPr>
          <w:rStyle w:val="Hipervnculo"/>
        </w:rPr>
      </w:pPr>
      <w:hyperlink r:id="rId11" w:history="1">
        <w:r w:rsidR="00C1117B" w:rsidRPr="00C1117B">
          <w:rPr>
            <w:rStyle w:val="Hipervnculo"/>
          </w:rPr>
          <w:t>http://www.medicina.uanl.mx/investigacion/</w:t>
        </w:r>
      </w:hyperlink>
    </w:p>
    <w:p w:rsidR="00C1117B" w:rsidRDefault="00C1117B" w:rsidP="00DB53D2">
      <w:pPr>
        <w:ind w:firstLine="708"/>
        <w:jc w:val="both"/>
        <w:rPr>
          <w:rFonts w:ascii="Arial" w:hAnsi="Arial" w:cs="Arial"/>
        </w:rPr>
      </w:pP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</w:t>
      </w:r>
      <w:r w:rsidR="00830631">
        <w:rPr>
          <w:rFonts w:ascii="Arial" w:hAnsi="Arial" w:cs="Arial"/>
          <w:b/>
        </w:rPr>
        <w:t>I</w:t>
      </w:r>
      <w:r w:rsidRPr="00803517">
        <w:rPr>
          <w:rFonts w:ascii="Arial" w:hAnsi="Arial" w:cs="Arial"/>
          <w:b/>
        </w:rPr>
        <w:t>I. REFERENCIAS</w:t>
      </w:r>
    </w:p>
    <w:p w:rsidR="001B213D" w:rsidRPr="00233AB9" w:rsidRDefault="00F365F5" w:rsidP="00233A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233AB9">
        <w:rPr>
          <w:rFonts w:ascii="Arial" w:hAnsi="Arial" w:cs="Arial"/>
          <w:lang w:val="es-MX"/>
        </w:rPr>
        <w:t>Reporte</w:t>
      </w:r>
      <w:r w:rsidR="001B213D" w:rsidRPr="00233AB9">
        <w:rPr>
          <w:rFonts w:ascii="Arial" w:hAnsi="Arial" w:cs="Arial"/>
          <w:lang w:val="es-MX"/>
        </w:rPr>
        <w:t xml:space="preserve"> de Belmont</w:t>
      </w:r>
    </w:p>
    <w:p w:rsidR="00111AB6" w:rsidRPr="00233AB9" w:rsidRDefault="00111AB6" w:rsidP="00233A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233AB9">
        <w:rPr>
          <w:rFonts w:ascii="Arial" w:hAnsi="Arial" w:cs="Arial"/>
          <w:lang w:val="en-US"/>
        </w:rPr>
        <w:t>21 CFR 56.108, 56.109, 56.113</w:t>
      </w:r>
    </w:p>
    <w:p w:rsidR="00111AB6" w:rsidRPr="00233AB9" w:rsidRDefault="00111AB6" w:rsidP="00233A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233AB9">
        <w:rPr>
          <w:rFonts w:ascii="Arial" w:hAnsi="Arial" w:cs="Arial"/>
          <w:lang w:val="en-US"/>
        </w:rPr>
        <w:t>45 CFR 46.108</w:t>
      </w:r>
    </w:p>
    <w:p w:rsidR="00111AB6" w:rsidRPr="00233AB9" w:rsidRDefault="00111AB6" w:rsidP="00233A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233AB9">
        <w:rPr>
          <w:rFonts w:ascii="Arial" w:hAnsi="Arial" w:cs="Arial"/>
          <w:lang w:val="en-US"/>
        </w:rPr>
        <w:t xml:space="preserve">45CFR46.103 (b4. B5) </w:t>
      </w:r>
    </w:p>
    <w:p w:rsidR="00111AB6" w:rsidRPr="00233AB9" w:rsidRDefault="00111AB6" w:rsidP="00233A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233AB9">
        <w:rPr>
          <w:rFonts w:ascii="Arial" w:hAnsi="Arial" w:cs="Arial"/>
          <w:lang w:val="es-MX"/>
        </w:rPr>
        <w:t>21CFR56.108(a, b)</w:t>
      </w:r>
    </w:p>
    <w:p w:rsidR="001B213D" w:rsidRPr="00233AB9" w:rsidRDefault="001B213D" w:rsidP="00233A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233AB9">
        <w:rPr>
          <w:rFonts w:ascii="Arial" w:hAnsi="Arial" w:cs="Arial"/>
          <w:lang w:val="es-MX"/>
        </w:rPr>
        <w:t xml:space="preserve">Código de </w:t>
      </w:r>
      <w:r w:rsidR="00F03553" w:rsidRPr="00233AB9">
        <w:rPr>
          <w:rFonts w:ascii="Arial" w:hAnsi="Arial" w:cs="Arial"/>
          <w:lang w:val="es-MX"/>
        </w:rPr>
        <w:t>Núremberg</w:t>
      </w:r>
    </w:p>
    <w:p w:rsidR="001B213D" w:rsidRPr="00233AB9" w:rsidRDefault="001B213D" w:rsidP="00233A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233AB9">
        <w:rPr>
          <w:rFonts w:ascii="Arial" w:hAnsi="Arial" w:cs="Arial"/>
          <w:lang w:val="es-MX"/>
        </w:rPr>
        <w:t>Declaración de Helsinki</w:t>
      </w:r>
    </w:p>
    <w:p w:rsidR="00453E8E" w:rsidRPr="00233AB9" w:rsidRDefault="001B213D" w:rsidP="00233A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233AB9">
        <w:rPr>
          <w:rFonts w:ascii="Arial" w:hAnsi="Arial" w:cs="Arial"/>
          <w:lang w:val="es-MX"/>
        </w:rPr>
        <w:t xml:space="preserve">Ley General de Salud en </w:t>
      </w:r>
      <w:r w:rsidR="00AA4212" w:rsidRPr="00233AB9">
        <w:rPr>
          <w:rFonts w:ascii="Arial" w:hAnsi="Arial" w:cs="Arial"/>
          <w:lang w:val="es-MX"/>
        </w:rPr>
        <w:t>M</w:t>
      </w:r>
      <w:r w:rsidRPr="00233AB9">
        <w:rPr>
          <w:rFonts w:ascii="Arial" w:hAnsi="Arial" w:cs="Arial"/>
          <w:lang w:val="es-MX"/>
        </w:rPr>
        <w:t>ateria de Investigación de los Estados Unidos Mexicanos, artículos 99,</w:t>
      </w:r>
      <w:r w:rsidR="00AA4212" w:rsidRPr="00233AB9">
        <w:rPr>
          <w:rFonts w:ascii="Arial" w:hAnsi="Arial" w:cs="Arial"/>
          <w:lang w:val="es-MX"/>
        </w:rPr>
        <w:t xml:space="preserve"> </w:t>
      </w:r>
      <w:r w:rsidRPr="00233AB9">
        <w:rPr>
          <w:rFonts w:ascii="Arial" w:hAnsi="Arial" w:cs="Arial"/>
          <w:lang w:val="es-MX"/>
        </w:rPr>
        <w:t>101-106,</w:t>
      </w:r>
      <w:r w:rsidR="00AA4212" w:rsidRPr="00233AB9">
        <w:rPr>
          <w:rFonts w:ascii="Arial" w:hAnsi="Arial" w:cs="Arial"/>
          <w:lang w:val="es-MX"/>
        </w:rPr>
        <w:t xml:space="preserve"> </w:t>
      </w:r>
      <w:r w:rsidR="00AA4212" w:rsidRPr="00233AB9">
        <w:rPr>
          <w:rFonts w:ascii="Arial" w:hAnsi="Arial" w:cs="Arial"/>
          <w:color w:val="000000"/>
        </w:rPr>
        <w:t>Articulo 14 fracció</w:t>
      </w:r>
      <w:r w:rsidR="00453E8E" w:rsidRPr="00233AB9">
        <w:rPr>
          <w:rFonts w:ascii="Arial" w:hAnsi="Arial" w:cs="Arial"/>
          <w:color w:val="000000"/>
        </w:rPr>
        <w:t>n VI, Articulo 113, Articulo 114</w:t>
      </w:r>
      <w:r w:rsidR="00AA4212" w:rsidRPr="00233AB9">
        <w:rPr>
          <w:rFonts w:ascii="Arial" w:hAnsi="Arial" w:cs="Arial"/>
          <w:color w:val="000000"/>
        </w:rPr>
        <w:t>,</w:t>
      </w:r>
      <w:r w:rsidRPr="00233AB9">
        <w:rPr>
          <w:rFonts w:ascii="Arial" w:hAnsi="Arial" w:cs="Arial"/>
          <w:lang w:val="es-MX"/>
        </w:rPr>
        <w:t xml:space="preserve"> Normas Técnicas 313-315.</w:t>
      </w:r>
    </w:p>
    <w:p w:rsidR="00233AB9" w:rsidRDefault="00233AB9" w:rsidP="00233AB9">
      <w:pPr>
        <w:pStyle w:val="level1bodystyle"/>
        <w:numPr>
          <w:ilvl w:val="0"/>
          <w:numId w:val="9"/>
        </w:numPr>
        <w:jc w:val="both"/>
        <w:rPr>
          <w:lang w:val="es-MX"/>
        </w:rPr>
      </w:pPr>
      <w:r>
        <w:rPr>
          <w:lang w:val="es-MX"/>
        </w:rPr>
        <w:t>Reglamento Interno de Investigación de la Facultad de Medicina y Hospital Universitario de UANL.</w:t>
      </w:r>
    </w:p>
    <w:p w:rsidR="001B213D" w:rsidRDefault="006401B4" w:rsidP="00233AB9">
      <w:pPr>
        <w:pStyle w:val="level1bodystyle"/>
        <w:numPr>
          <w:ilvl w:val="0"/>
          <w:numId w:val="9"/>
        </w:numPr>
        <w:jc w:val="both"/>
        <w:rPr>
          <w:lang w:val="es-MX"/>
        </w:rPr>
      </w:pPr>
      <w:r>
        <w:rPr>
          <w:lang w:val="es-MX"/>
        </w:rPr>
        <w:t>Referencia de la AA</w:t>
      </w:r>
      <w:r w:rsidR="00EF2039">
        <w:rPr>
          <w:lang w:val="es-MX"/>
        </w:rPr>
        <w:t>PPSI</w:t>
      </w:r>
      <w:r w:rsidR="00E81964">
        <w:rPr>
          <w:lang w:val="es-MX"/>
        </w:rPr>
        <w:t>. Elemento</w:t>
      </w:r>
      <w:r w:rsidR="00AA4212">
        <w:rPr>
          <w:lang w:val="es-MX"/>
        </w:rPr>
        <w:t xml:space="preserve">s I.1.A e </w:t>
      </w:r>
      <w:r w:rsidR="00E81964">
        <w:rPr>
          <w:lang w:val="es-MX"/>
        </w:rPr>
        <w:t xml:space="preserve">I.1.C, </w:t>
      </w:r>
    </w:p>
    <w:p w:rsidR="00FF6B0B" w:rsidRPr="00233AB9" w:rsidRDefault="00FF6B0B" w:rsidP="00233A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lang w:val="es-MX"/>
        </w:rPr>
      </w:pPr>
      <w:r w:rsidRPr="00233AB9">
        <w:rPr>
          <w:rFonts w:ascii="Arial" w:hAnsi="Arial" w:cs="Arial"/>
          <w:lang w:val="es-MX"/>
        </w:rPr>
        <w:t xml:space="preserve">Guía Nacional para la Integración y el Funcionamiento de los Comités de Ética en Investigación, </w:t>
      </w:r>
      <w:r w:rsidR="00860FAB">
        <w:rPr>
          <w:rFonts w:ascii="Arial" w:hAnsi="Arial" w:cs="Arial"/>
          <w:lang w:val="es-MX"/>
        </w:rPr>
        <w:t>Sexta Edición, 2018</w:t>
      </w:r>
      <w:r w:rsidRPr="00233AB9">
        <w:rPr>
          <w:rFonts w:ascii="Arial" w:hAnsi="Arial" w:cs="Arial"/>
          <w:lang w:val="es-MX"/>
        </w:rPr>
        <w:t>.</w:t>
      </w:r>
      <w:bookmarkStart w:id="0" w:name="_GoBack"/>
      <w:bookmarkEnd w:id="0"/>
    </w:p>
    <w:sectPr w:rsidR="00FF6B0B" w:rsidRPr="00233AB9" w:rsidSect="00E42384">
      <w:headerReference w:type="default" r:id="rId12"/>
      <w:footerReference w:type="default" r:id="rId13"/>
      <w:pgSz w:w="12242" w:h="15842" w:code="1"/>
      <w:pgMar w:top="1701" w:right="1701" w:bottom="1418" w:left="1701" w:header="1703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FB" w:rsidRDefault="003A7DFB" w:rsidP="00CB37E8">
      <w:r>
        <w:separator/>
      </w:r>
    </w:p>
  </w:endnote>
  <w:endnote w:type="continuationSeparator" w:id="0">
    <w:p w:rsidR="003A7DFB" w:rsidRDefault="003A7DFB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995D80" w:rsidRDefault="00995D80">
            <w:pPr>
              <w:pStyle w:val="Piedepgina"/>
              <w:jc w:val="right"/>
            </w:pPr>
            <w:r>
              <w:t xml:space="preserve">Página </w:t>
            </w:r>
            <w:r w:rsidR="00ED0E0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D0E0E">
              <w:rPr>
                <w:b/>
              </w:rPr>
              <w:fldChar w:fldCharType="separate"/>
            </w:r>
            <w:r w:rsidR="00860FAB">
              <w:rPr>
                <w:b/>
                <w:noProof/>
              </w:rPr>
              <w:t>4</w:t>
            </w:r>
            <w:r w:rsidR="00ED0E0E">
              <w:rPr>
                <w:b/>
              </w:rPr>
              <w:fldChar w:fldCharType="end"/>
            </w:r>
            <w:r>
              <w:t xml:space="preserve"> de </w:t>
            </w:r>
            <w:r w:rsidR="00ED0E0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D0E0E">
              <w:rPr>
                <w:b/>
              </w:rPr>
              <w:fldChar w:fldCharType="separate"/>
            </w:r>
            <w:r w:rsidR="00860FAB">
              <w:rPr>
                <w:b/>
                <w:noProof/>
              </w:rPr>
              <w:t>5</w:t>
            </w:r>
            <w:r w:rsidR="00ED0E0E">
              <w:rPr>
                <w:b/>
              </w:rPr>
              <w:fldChar w:fldCharType="end"/>
            </w:r>
          </w:p>
        </w:sdtContent>
      </w:sdt>
    </w:sdtContent>
  </w:sdt>
  <w:p w:rsidR="00995D80" w:rsidRDefault="00995D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FB" w:rsidRDefault="003A7DFB" w:rsidP="00CB37E8">
      <w:r>
        <w:separator/>
      </w:r>
    </w:p>
  </w:footnote>
  <w:footnote w:type="continuationSeparator" w:id="0">
    <w:p w:rsidR="003A7DFB" w:rsidRDefault="003A7DFB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80" w:rsidRDefault="00995D80">
    <w:pPr>
      <w:pStyle w:val="Encabezado"/>
    </w:pPr>
    <w:r>
      <w:rPr>
        <w:noProof/>
        <w:sz w:val="10"/>
        <w:lang w:val="es-MX" w:eastAsia="ja-JP"/>
      </w:rPr>
      <w:drawing>
        <wp:anchor distT="0" distB="0" distL="114300" distR="114300" simplePos="0" relativeHeight="251660800" behindDoc="0" locked="0" layoutInCell="1" allowOverlap="1" wp14:anchorId="2A723833" wp14:editId="7AE2C3EE">
          <wp:simplePos x="0" y="0"/>
          <wp:positionH relativeFrom="column">
            <wp:posOffset>381000</wp:posOffset>
          </wp:positionH>
          <wp:positionV relativeFrom="paragraph">
            <wp:posOffset>-229870</wp:posOffset>
          </wp:positionV>
          <wp:extent cx="463550" cy="463550"/>
          <wp:effectExtent l="0" t="0" r="0" b="0"/>
          <wp:wrapSquare wrapText="bothSides"/>
          <wp:docPr id="2" name="Imagen 2" descr="logo uni 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 color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995D80" w:rsidTr="007A5DCE">
      <w:trPr>
        <w:trHeight w:val="410"/>
      </w:trPr>
      <w:tc>
        <w:tcPr>
          <w:tcW w:w="1196" w:type="pct"/>
          <w:vMerge w:val="restart"/>
        </w:tcPr>
        <w:p w:rsidR="00995D80" w:rsidRDefault="00995D80" w:rsidP="007A5DCE">
          <w:pPr>
            <w:rPr>
              <w:sz w:val="10"/>
            </w:rPr>
          </w:pPr>
        </w:p>
        <w:p w:rsidR="00995D80" w:rsidRDefault="00995D80" w:rsidP="007A5DCE">
          <w:pPr>
            <w:rPr>
              <w:rFonts w:ascii="Arial" w:hAnsi="Arial" w:cs="Arial"/>
              <w:sz w:val="12"/>
            </w:rPr>
          </w:pPr>
        </w:p>
        <w:p w:rsidR="00995D80" w:rsidRDefault="00995D80" w:rsidP="007A5DCE">
          <w:pPr>
            <w:rPr>
              <w:rFonts w:ascii="Arial" w:hAnsi="Arial" w:cs="Arial"/>
              <w:sz w:val="12"/>
            </w:rPr>
          </w:pPr>
        </w:p>
        <w:p w:rsidR="00995D80" w:rsidRDefault="00995D80" w:rsidP="007A5DCE">
          <w:pPr>
            <w:rPr>
              <w:rFonts w:ascii="Arial" w:hAnsi="Arial" w:cs="Arial"/>
              <w:sz w:val="12"/>
            </w:rPr>
          </w:pPr>
        </w:p>
        <w:p w:rsidR="00995D80" w:rsidRDefault="00995D80" w:rsidP="007A5DCE">
          <w:pPr>
            <w:rPr>
              <w:rFonts w:ascii="Arial" w:hAnsi="Arial" w:cs="Arial"/>
              <w:sz w:val="12"/>
            </w:rPr>
          </w:pPr>
        </w:p>
        <w:p w:rsidR="00995D80" w:rsidRDefault="00995D80" w:rsidP="007A5DCE">
          <w:pPr>
            <w:rPr>
              <w:rFonts w:ascii="Arial" w:hAnsi="Arial" w:cs="Arial"/>
              <w:sz w:val="12"/>
            </w:rPr>
          </w:pPr>
        </w:p>
        <w:p w:rsidR="00995D80" w:rsidRDefault="00995D80" w:rsidP="007A5DCE">
          <w:pPr>
            <w:rPr>
              <w:rFonts w:ascii="Arial" w:hAnsi="Arial" w:cs="Arial"/>
              <w:sz w:val="12"/>
            </w:rPr>
          </w:pPr>
        </w:p>
        <w:p w:rsidR="008C5314" w:rsidRDefault="008C5314" w:rsidP="008C5314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995D80" w:rsidRPr="00DB53D2" w:rsidRDefault="008C5314" w:rsidP="008C5314">
          <w:pPr>
            <w:jc w:val="center"/>
            <w:rPr>
              <w:sz w:val="10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</w:p>
      </w:tc>
      <w:tc>
        <w:tcPr>
          <w:tcW w:w="3804" w:type="pct"/>
          <w:gridSpan w:val="4"/>
        </w:tcPr>
        <w:p w:rsidR="00995D80" w:rsidRDefault="00995D80" w:rsidP="007A5DCE">
          <w:pPr>
            <w:jc w:val="center"/>
          </w:pPr>
          <w:r>
            <w:rPr>
              <w:rFonts w:ascii="Arial" w:hAnsi="Arial" w:cs="Arial"/>
              <w:b/>
              <w:caps/>
              <w:lang w:val="es-MX"/>
            </w:rPr>
            <w:t>SOP:  POLÍTICAS Y MANTENIMIENTO DE LOS PROCEDIMIENTOS</w:t>
          </w:r>
        </w:p>
      </w:tc>
    </w:tr>
    <w:tr w:rsidR="00995D80" w:rsidTr="007A5DCE">
      <w:trPr>
        <w:trHeight w:val="343"/>
      </w:trPr>
      <w:tc>
        <w:tcPr>
          <w:tcW w:w="1196" w:type="pct"/>
          <w:vMerge/>
        </w:tcPr>
        <w:p w:rsidR="00995D80" w:rsidRDefault="00995D80" w:rsidP="007A5DCE"/>
      </w:tc>
      <w:tc>
        <w:tcPr>
          <w:tcW w:w="643" w:type="pct"/>
        </w:tcPr>
        <w:p w:rsidR="00995D80" w:rsidRPr="00803517" w:rsidRDefault="00995D80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Numero</w:t>
          </w:r>
        </w:p>
      </w:tc>
      <w:tc>
        <w:tcPr>
          <w:tcW w:w="785" w:type="pct"/>
        </w:tcPr>
        <w:p w:rsidR="00995D80" w:rsidRPr="00803517" w:rsidRDefault="00995D80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995D80" w:rsidRPr="00803517" w:rsidRDefault="00995D80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995D80" w:rsidRPr="00803517" w:rsidRDefault="00995D80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995D80" w:rsidTr="007A5DCE">
      <w:trPr>
        <w:trHeight w:val="544"/>
      </w:trPr>
      <w:tc>
        <w:tcPr>
          <w:tcW w:w="1196" w:type="pct"/>
          <w:vMerge/>
        </w:tcPr>
        <w:p w:rsidR="00995D80" w:rsidRDefault="00995D80" w:rsidP="007A5DCE"/>
      </w:tc>
      <w:tc>
        <w:tcPr>
          <w:tcW w:w="643" w:type="pct"/>
        </w:tcPr>
        <w:p w:rsidR="00995D80" w:rsidRDefault="00995D80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GA-101</w:t>
          </w:r>
        </w:p>
        <w:p w:rsidR="00C72AA4" w:rsidRPr="00803517" w:rsidRDefault="00C72AA4" w:rsidP="008C531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</w:t>
          </w:r>
          <w:r w:rsidR="00EF2039">
            <w:rPr>
              <w:rFonts w:ascii="Arial" w:hAnsi="Arial" w:cs="Arial"/>
              <w:sz w:val="20"/>
              <w:szCs w:val="20"/>
            </w:rPr>
            <w:t xml:space="preserve"> 05</w:t>
          </w:r>
        </w:p>
      </w:tc>
      <w:tc>
        <w:tcPr>
          <w:tcW w:w="785" w:type="pct"/>
        </w:tcPr>
        <w:p w:rsidR="00995D80" w:rsidRPr="00803517" w:rsidRDefault="00EF2039" w:rsidP="00C72AA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 2022</w:t>
          </w:r>
        </w:p>
      </w:tc>
      <w:tc>
        <w:tcPr>
          <w:tcW w:w="1113" w:type="pct"/>
        </w:tcPr>
        <w:p w:rsidR="00995D80" w:rsidRPr="00803517" w:rsidRDefault="008C5314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Garza, A. Carlos</w:t>
          </w:r>
          <w:r w:rsidR="00EF2039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995D80" w:rsidRPr="00803517" w:rsidRDefault="00EF2039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995D80" w:rsidRDefault="00995D80">
    <w:pPr>
      <w:pStyle w:val="Encabezado"/>
    </w:pPr>
  </w:p>
  <w:p w:rsidR="00995D80" w:rsidRDefault="00995D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2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73A9"/>
    <w:multiLevelType w:val="hybridMultilevel"/>
    <w:tmpl w:val="E460E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C767C"/>
    <w:multiLevelType w:val="hybridMultilevel"/>
    <w:tmpl w:val="4B1AABCA"/>
    <w:lvl w:ilvl="0" w:tplc="F3D270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21B29"/>
    <w:rsid w:val="00027173"/>
    <w:rsid w:val="000665BF"/>
    <w:rsid w:val="000A5F9B"/>
    <w:rsid w:val="000C0454"/>
    <w:rsid w:val="000C17A5"/>
    <w:rsid w:val="000D191C"/>
    <w:rsid w:val="000E7813"/>
    <w:rsid w:val="000F385F"/>
    <w:rsid w:val="0011116D"/>
    <w:rsid w:val="00111AB6"/>
    <w:rsid w:val="00160AFA"/>
    <w:rsid w:val="00196ABB"/>
    <w:rsid w:val="001B213D"/>
    <w:rsid w:val="00200A01"/>
    <w:rsid w:val="00233AB9"/>
    <w:rsid w:val="002D6459"/>
    <w:rsid w:val="002E2FEC"/>
    <w:rsid w:val="00320A3B"/>
    <w:rsid w:val="00320FF7"/>
    <w:rsid w:val="003350BF"/>
    <w:rsid w:val="003911D9"/>
    <w:rsid w:val="003A7DFB"/>
    <w:rsid w:val="003B07EE"/>
    <w:rsid w:val="003B761F"/>
    <w:rsid w:val="003C45DC"/>
    <w:rsid w:val="003D3DE3"/>
    <w:rsid w:val="003D4494"/>
    <w:rsid w:val="003E56E0"/>
    <w:rsid w:val="003F2C93"/>
    <w:rsid w:val="00451AD3"/>
    <w:rsid w:val="00453E8E"/>
    <w:rsid w:val="00475BA4"/>
    <w:rsid w:val="004877B8"/>
    <w:rsid w:val="004A7E03"/>
    <w:rsid w:val="004B18FB"/>
    <w:rsid w:val="004B6BB1"/>
    <w:rsid w:val="004C421F"/>
    <w:rsid w:val="004D658C"/>
    <w:rsid w:val="004E6AB4"/>
    <w:rsid w:val="004F7E6F"/>
    <w:rsid w:val="005A0CB4"/>
    <w:rsid w:val="005A7A49"/>
    <w:rsid w:val="00621DE6"/>
    <w:rsid w:val="00624673"/>
    <w:rsid w:val="00626D69"/>
    <w:rsid w:val="006401B4"/>
    <w:rsid w:val="0065029A"/>
    <w:rsid w:val="006726E5"/>
    <w:rsid w:val="006F530C"/>
    <w:rsid w:val="007338DF"/>
    <w:rsid w:val="0075181E"/>
    <w:rsid w:val="007557DC"/>
    <w:rsid w:val="0076779E"/>
    <w:rsid w:val="00791DB2"/>
    <w:rsid w:val="0079703B"/>
    <w:rsid w:val="007A5DCE"/>
    <w:rsid w:val="007C17DE"/>
    <w:rsid w:val="007C3E91"/>
    <w:rsid w:val="007E0DB9"/>
    <w:rsid w:val="007F43C8"/>
    <w:rsid w:val="008012AA"/>
    <w:rsid w:val="00803517"/>
    <w:rsid w:val="00830631"/>
    <w:rsid w:val="00847E07"/>
    <w:rsid w:val="0085635E"/>
    <w:rsid w:val="00860FAB"/>
    <w:rsid w:val="008656DD"/>
    <w:rsid w:val="00886B9D"/>
    <w:rsid w:val="00897A3D"/>
    <w:rsid w:val="008A1BE2"/>
    <w:rsid w:val="008B7180"/>
    <w:rsid w:val="008C16FD"/>
    <w:rsid w:val="008C5314"/>
    <w:rsid w:val="008D39C6"/>
    <w:rsid w:val="008D4414"/>
    <w:rsid w:val="008D791F"/>
    <w:rsid w:val="008E06B4"/>
    <w:rsid w:val="00930AB6"/>
    <w:rsid w:val="00942520"/>
    <w:rsid w:val="00942695"/>
    <w:rsid w:val="00961C82"/>
    <w:rsid w:val="009730F3"/>
    <w:rsid w:val="00995D80"/>
    <w:rsid w:val="009C3621"/>
    <w:rsid w:val="009E2C74"/>
    <w:rsid w:val="00A064E7"/>
    <w:rsid w:val="00A152A2"/>
    <w:rsid w:val="00A21B21"/>
    <w:rsid w:val="00A45A5B"/>
    <w:rsid w:val="00A5230F"/>
    <w:rsid w:val="00A64950"/>
    <w:rsid w:val="00AA4212"/>
    <w:rsid w:val="00AF56C3"/>
    <w:rsid w:val="00AF5E88"/>
    <w:rsid w:val="00B50A97"/>
    <w:rsid w:val="00B5310A"/>
    <w:rsid w:val="00BD65AE"/>
    <w:rsid w:val="00C037FF"/>
    <w:rsid w:val="00C1117B"/>
    <w:rsid w:val="00C37238"/>
    <w:rsid w:val="00C63C3C"/>
    <w:rsid w:val="00C72AA4"/>
    <w:rsid w:val="00C77431"/>
    <w:rsid w:val="00C9759D"/>
    <w:rsid w:val="00CA4674"/>
    <w:rsid w:val="00CB37E8"/>
    <w:rsid w:val="00CE3479"/>
    <w:rsid w:val="00CF50F8"/>
    <w:rsid w:val="00D12D49"/>
    <w:rsid w:val="00D1619F"/>
    <w:rsid w:val="00D23332"/>
    <w:rsid w:val="00D3098E"/>
    <w:rsid w:val="00DB53D2"/>
    <w:rsid w:val="00DC46AC"/>
    <w:rsid w:val="00DC54F0"/>
    <w:rsid w:val="00E237A1"/>
    <w:rsid w:val="00E3459B"/>
    <w:rsid w:val="00E42384"/>
    <w:rsid w:val="00E434E3"/>
    <w:rsid w:val="00E45D36"/>
    <w:rsid w:val="00E52707"/>
    <w:rsid w:val="00E67A9D"/>
    <w:rsid w:val="00E81964"/>
    <w:rsid w:val="00ED0E0E"/>
    <w:rsid w:val="00EF2039"/>
    <w:rsid w:val="00EF6C23"/>
    <w:rsid w:val="00F03553"/>
    <w:rsid w:val="00F07BBF"/>
    <w:rsid w:val="00F116DB"/>
    <w:rsid w:val="00F11BB4"/>
    <w:rsid w:val="00F21FAA"/>
    <w:rsid w:val="00F233A2"/>
    <w:rsid w:val="00F365F5"/>
    <w:rsid w:val="00F53228"/>
    <w:rsid w:val="00FA43C0"/>
    <w:rsid w:val="00FB7293"/>
    <w:rsid w:val="00FD14EA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FD1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4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4E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4E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F43C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F43C8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60F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FD1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4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4E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4E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F43C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F43C8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60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vestigacion-meduan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vestigacion-meduan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vestigacion-meduan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C96B-EBE4-4C1D-AFA1-F029BAA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4</cp:revision>
  <cp:lastPrinted>2011-11-01T17:51:00Z</cp:lastPrinted>
  <dcterms:created xsi:type="dcterms:W3CDTF">2022-09-29T17:39:00Z</dcterms:created>
  <dcterms:modified xsi:type="dcterms:W3CDTF">2022-10-13T16:38:00Z</dcterms:modified>
</cp:coreProperties>
</file>