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4" w:rsidRPr="000F7F65" w:rsidRDefault="00F11BB4" w:rsidP="00DB53D2">
      <w:pPr>
        <w:jc w:val="both"/>
        <w:rPr>
          <w:rFonts w:ascii="Arial" w:hAnsi="Arial" w:cs="Arial"/>
        </w:rPr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0F7F65">
        <w:rPr>
          <w:rFonts w:ascii="Arial" w:hAnsi="Arial" w:cs="Arial"/>
          <w:b/>
        </w:rPr>
        <w:t>I. PROPÓSITO</w:t>
      </w:r>
    </w:p>
    <w:p w:rsidR="00B72B62" w:rsidRPr="000F7F65" w:rsidRDefault="00B72B62" w:rsidP="00DB53D2">
      <w:pPr>
        <w:jc w:val="both"/>
        <w:rPr>
          <w:rFonts w:ascii="Arial" w:hAnsi="Arial" w:cs="Arial"/>
          <w:b/>
        </w:rPr>
      </w:pPr>
    </w:p>
    <w:p w:rsidR="004D1894" w:rsidRPr="000F7F65" w:rsidRDefault="00803517" w:rsidP="00D21E35">
      <w:pPr>
        <w:ind w:firstLine="708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>I.1.</w:t>
      </w:r>
      <w:r w:rsidR="004D1894" w:rsidRPr="000F7F65">
        <w:rPr>
          <w:rFonts w:ascii="Arial" w:hAnsi="Arial" w:cs="Arial"/>
        </w:rPr>
        <w:t xml:space="preserve">Describir </w:t>
      </w:r>
      <w:r w:rsidR="00EA2201" w:rsidRPr="000F7F65">
        <w:rPr>
          <w:rFonts w:ascii="Arial" w:hAnsi="Arial" w:cs="Arial"/>
        </w:rPr>
        <w:t xml:space="preserve">los </w:t>
      </w:r>
      <w:r w:rsidR="00D21E35" w:rsidRPr="000F7F65">
        <w:rPr>
          <w:rFonts w:ascii="Arial" w:hAnsi="Arial" w:cs="Arial"/>
        </w:rPr>
        <w:t xml:space="preserve">procesos mediante </w:t>
      </w:r>
      <w:r w:rsidR="0095621B" w:rsidRPr="000F7F65">
        <w:rPr>
          <w:rFonts w:ascii="Arial" w:hAnsi="Arial" w:cs="Arial"/>
        </w:rPr>
        <w:t xml:space="preserve">los cuales </w:t>
      </w:r>
      <w:r w:rsidR="000A17AD" w:rsidRPr="000F7F65">
        <w:rPr>
          <w:rFonts w:ascii="Arial" w:hAnsi="Arial" w:cs="Arial"/>
        </w:rPr>
        <w:t>se establecen la</w:t>
      </w:r>
      <w:r w:rsidR="00F47CEF" w:rsidRPr="000F7F65">
        <w:rPr>
          <w:rFonts w:ascii="Arial" w:hAnsi="Arial" w:cs="Arial"/>
        </w:rPr>
        <w:t xml:space="preserve">s comunicaciones entre investigadores y </w:t>
      </w:r>
      <w:r w:rsidR="0095621B" w:rsidRPr="000F7F65">
        <w:rPr>
          <w:rFonts w:ascii="Arial" w:hAnsi="Arial" w:cs="Arial"/>
        </w:rPr>
        <w:t xml:space="preserve">el </w:t>
      </w:r>
      <w:r w:rsidR="00B72B62">
        <w:rPr>
          <w:rFonts w:ascii="Arial" w:hAnsi="Arial" w:cs="Arial"/>
        </w:rPr>
        <w:t>CEI</w:t>
      </w:r>
      <w:r w:rsidR="00F47CEF" w:rsidRPr="000F7F65">
        <w:rPr>
          <w:rFonts w:ascii="Arial" w:hAnsi="Arial" w:cs="Arial"/>
        </w:rPr>
        <w:t>.</w:t>
      </w:r>
    </w:p>
    <w:p w:rsidR="00D21E35" w:rsidRPr="000F7F65" w:rsidRDefault="00F47CEF" w:rsidP="00D21E35">
      <w:pPr>
        <w:ind w:firstLine="708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 xml:space="preserve">I.2. Inicia con la comunicación </w:t>
      </w:r>
      <w:r w:rsidR="0095621B" w:rsidRPr="000F7F65">
        <w:rPr>
          <w:rFonts w:ascii="Arial" w:hAnsi="Arial" w:cs="Arial"/>
        </w:rPr>
        <w:t xml:space="preserve">Investigador-Comité </w:t>
      </w:r>
      <w:r w:rsidRPr="000F7F65">
        <w:rPr>
          <w:rFonts w:ascii="Arial" w:hAnsi="Arial" w:cs="Arial"/>
        </w:rPr>
        <w:t>inicial.</w:t>
      </w:r>
    </w:p>
    <w:p w:rsidR="00D21E35" w:rsidRPr="000F7F65" w:rsidRDefault="00A30A67" w:rsidP="00D21E35">
      <w:pPr>
        <w:ind w:firstLine="708"/>
        <w:jc w:val="both"/>
        <w:rPr>
          <w:rFonts w:ascii="Arial" w:hAnsi="Arial" w:cs="Arial"/>
          <w:lang w:val="es-MX"/>
        </w:rPr>
      </w:pPr>
      <w:r w:rsidRPr="000F7F65">
        <w:rPr>
          <w:rFonts w:ascii="Arial" w:hAnsi="Arial" w:cs="Arial"/>
        </w:rPr>
        <w:t>I.3</w:t>
      </w:r>
      <w:r w:rsidR="000A17AD" w:rsidRPr="000F7F65">
        <w:rPr>
          <w:rFonts w:ascii="Arial" w:hAnsi="Arial" w:cs="Arial"/>
        </w:rPr>
        <w:t>. Ter</w:t>
      </w:r>
      <w:r w:rsidR="00B72B62">
        <w:rPr>
          <w:rFonts w:ascii="Arial" w:hAnsi="Arial" w:cs="Arial"/>
        </w:rPr>
        <w:t>mina cuando el CEI</w:t>
      </w:r>
      <w:r w:rsidR="0095621B" w:rsidRPr="000F7F65">
        <w:rPr>
          <w:rFonts w:ascii="Arial" w:hAnsi="Arial" w:cs="Arial"/>
        </w:rPr>
        <w:t xml:space="preserve"> emite un comunicado al </w:t>
      </w:r>
      <w:r w:rsidR="00F47CEF" w:rsidRPr="000F7F65">
        <w:rPr>
          <w:rFonts w:ascii="Arial" w:hAnsi="Arial" w:cs="Arial"/>
        </w:rPr>
        <w:t>Investigador.</w:t>
      </w:r>
    </w:p>
    <w:p w:rsidR="00CC79A3" w:rsidRPr="000F7F65" w:rsidRDefault="00CC79A3" w:rsidP="00CC79A3">
      <w:pPr>
        <w:ind w:firstLine="708"/>
        <w:jc w:val="both"/>
        <w:rPr>
          <w:rFonts w:ascii="Arial" w:hAnsi="Arial" w:cs="Arial"/>
        </w:rPr>
      </w:pPr>
    </w:p>
    <w:p w:rsidR="00803517" w:rsidRPr="000F7F65" w:rsidRDefault="00803517" w:rsidP="00DB53D2">
      <w:pPr>
        <w:jc w:val="both"/>
        <w:rPr>
          <w:rFonts w:ascii="Arial" w:hAnsi="Arial" w:cs="Arial"/>
          <w:b/>
        </w:rPr>
      </w:pPr>
      <w:r w:rsidRPr="000F7F65">
        <w:rPr>
          <w:rFonts w:ascii="Arial" w:hAnsi="Arial" w:cs="Arial"/>
          <w:b/>
        </w:rPr>
        <w:t>II. REVISIONES DE VERSIONES PREVIAS</w:t>
      </w:r>
    </w:p>
    <w:p w:rsidR="00803517" w:rsidRPr="000F7F65" w:rsidRDefault="00CB37E8" w:rsidP="00DB53D2">
      <w:pPr>
        <w:ind w:firstLine="708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>Ninguna</w:t>
      </w:r>
    </w:p>
    <w:p w:rsidR="00803517" w:rsidRPr="000F7F65" w:rsidRDefault="00803517" w:rsidP="00DB53D2">
      <w:pPr>
        <w:jc w:val="both"/>
        <w:rPr>
          <w:rFonts w:ascii="Arial" w:hAnsi="Arial" w:cs="Arial"/>
          <w:b/>
        </w:rPr>
      </w:pPr>
    </w:p>
    <w:p w:rsidR="00803517" w:rsidRPr="000F7F65" w:rsidRDefault="00803517" w:rsidP="00DB53D2">
      <w:pPr>
        <w:jc w:val="both"/>
        <w:rPr>
          <w:rFonts w:ascii="Arial" w:hAnsi="Arial" w:cs="Arial"/>
          <w:b/>
        </w:rPr>
      </w:pPr>
      <w:r w:rsidRPr="000F7F65">
        <w:rPr>
          <w:rFonts w:ascii="Arial" w:hAnsi="Arial" w:cs="Arial"/>
          <w:b/>
        </w:rPr>
        <w:t>III. POLÍTICAS</w:t>
      </w:r>
    </w:p>
    <w:p w:rsidR="005E10C3" w:rsidRPr="000F7F65" w:rsidRDefault="009A4F52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C0A38" w:rsidRPr="000F7F65" w:rsidRDefault="00DC0A38" w:rsidP="00DC0A38">
      <w:pPr>
        <w:pStyle w:val="level1bodystyle"/>
        <w:jc w:val="both"/>
        <w:rPr>
          <w:color w:val="000000"/>
          <w:szCs w:val="24"/>
          <w:lang w:val="es-ES"/>
        </w:rPr>
      </w:pPr>
      <w:r w:rsidRPr="000F7F65">
        <w:rPr>
          <w:color w:val="000000"/>
          <w:szCs w:val="24"/>
          <w:lang w:val="es-ES"/>
        </w:rPr>
        <w:t xml:space="preserve">Es importante que </w:t>
      </w:r>
      <w:r w:rsidR="0095621B" w:rsidRPr="000F7F65">
        <w:rPr>
          <w:color w:val="000000"/>
          <w:szCs w:val="24"/>
          <w:lang w:val="es-ES"/>
        </w:rPr>
        <w:t xml:space="preserve">los </w:t>
      </w:r>
      <w:r w:rsidRPr="000F7F65">
        <w:rPr>
          <w:color w:val="000000"/>
          <w:szCs w:val="24"/>
          <w:lang w:val="es-ES"/>
        </w:rPr>
        <w:t>investigadores, profesores</w:t>
      </w:r>
      <w:r w:rsidR="0095621B" w:rsidRPr="000F7F65">
        <w:rPr>
          <w:color w:val="000000"/>
          <w:szCs w:val="24"/>
          <w:lang w:val="es-ES"/>
        </w:rPr>
        <w:t>,</w:t>
      </w:r>
      <w:r w:rsidRPr="000F7F65">
        <w:rPr>
          <w:color w:val="000000"/>
          <w:szCs w:val="24"/>
          <w:lang w:val="es-ES"/>
        </w:rPr>
        <w:t xml:space="preserve"> sujetos involucrados en </w:t>
      </w:r>
      <w:r w:rsidR="000F7F65" w:rsidRPr="000F7F65">
        <w:rPr>
          <w:color w:val="000000"/>
          <w:szCs w:val="24"/>
          <w:lang w:val="es-ES"/>
        </w:rPr>
        <w:t>el proceso</w:t>
      </w:r>
      <w:r w:rsidRPr="000F7F65">
        <w:rPr>
          <w:color w:val="000000"/>
          <w:szCs w:val="24"/>
          <w:lang w:val="es-ES"/>
        </w:rPr>
        <w:t xml:space="preserve"> de investigación y cualquier otra parte involucrada</w:t>
      </w:r>
      <w:r w:rsidR="0095621B" w:rsidRPr="000F7F65">
        <w:rPr>
          <w:color w:val="000000"/>
          <w:szCs w:val="24"/>
          <w:lang w:val="es-ES"/>
        </w:rPr>
        <w:t>,</w:t>
      </w:r>
      <w:r w:rsidRPr="000F7F65">
        <w:rPr>
          <w:color w:val="000000"/>
          <w:szCs w:val="24"/>
          <w:lang w:val="es-ES"/>
        </w:rPr>
        <w:t xml:space="preserve"> tenga los medios de comunicación informativa acerca de l</w:t>
      </w:r>
      <w:r w:rsidR="0095621B" w:rsidRPr="000F7F65">
        <w:rPr>
          <w:color w:val="000000"/>
          <w:szCs w:val="24"/>
          <w:lang w:val="es-ES"/>
        </w:rPr>
        <w:t>a</w:t>
      </w:r>
      <w:r w:rsidRPr="000F7F65">
        <w:rPr>
          <w:color w:val="000000"/>
          <w:szCs w:val="24"/>
          <w:lang w:val="es-ES"/>
        </w:rPr>
        <w:t xml:space="preserve">s </w:t>
      </w:r>
      <w:r w:rsidR="0095621B" w:rsidRPr="000F7F65">
        <w:rPr>
          <w:color w:val="000000"/>
          <w:szCs w:val="24"/>
          <w:lang w:val="es-ES"/>
        </w:rPr>
        <w:t>r</w:t>
      </w:r>
      <w:r w:rsidRPr="000F7F65">
        <w:rPr>
          <w:color w:val="000000"/>
          <w:szCs w:val="24"/>
          <w:lang w:val="es-ES"/>
        </w:rPr>
        <w:t>eg</w:t>
      </w:r>
      <w:r w:rsidR="0034426B" w:rsidRPr="000F7F65">
        <w:rPr>
          <w:color w:val="000000"/>
          <w:szCs w:val="24"/>
          <w:lang w:val="es-ES"/>
        </w:rPr>
        <w:t xml:space="preserve">ulaciones del </w:t>
      </w:r>
      <w:r w:rsidRPr="000F7F65">
        <w:rPr>
          <w:color w:val="000000"/>
          <w:szCs w:val="24"/>
          <w:lang w:val="es-ES"/>
        </w:rPr>
        <w:t xml:space="preserve">Comité de Ética </w:t>
      </w:r>
      <w:r w:rsidR="00B72B62">
        <w:rPr>
          <w:color w:val="000000"/>
          <w:szCs w:val="24"/>
          <w:lang w:val="es-ES"/>
        </w:rPr>
        <w:t xml:space="preserve">en Investigación </w:t>
      </w:r>
      <w:r w:rsidRPr="000F7F65">
        <w:rPr>
          <w:color w:val="000000"/>
          <w:szCs w:val="24"/>
          <w:lang w:val="es-ES"/>
        </w:rPr>
        <w:t xml:space="preserve">y </w:t>
      </w:r>
      <w:r w:rsidR="000F7F65" w:rsidRPr="000F7F65">
        <w:rPr>
          <w:color w:val="000000"/>
          <w:szCs w:val="24"/>
          <w:lang w:val="es-ES"/>
        </w:rPr>
        <w:t xml:space="preserve">el </w:t>
      </w:r>
      <w:r w:rsidRPr="000F7F65">
        <w:rPr>
          <w:color w:val="000000"/>
          <w:szCs w:val="24"/>
          <w:lang w:val="es-ES"/>
        </w:rPr>
        <w:t xml:space="preserve">Comité  de Investigación </w:t>
      </w:r>
      <w:r w:rsidR="00B72B62">
        <w:rPr>
          <w:color w:val="000000"/>
          <w:szCs w:val="24"/>
          <w:lang w:val="es-ES"/>
        </w:rPr>
        <w:t>del Hospital Universitario.</w:t>
      </w:r>
    </w:p>
    <w:p w:rsidR="00DC0A38" w:rsidRPr="000F7F65" w:rsidRDefault="00DC0A38" w:rsidP="00DC0A38">
      <w:pPr>
        <w:pStyle w:val="level1bodystyle"/>
        <w:jc w:val="both"/>
        <w:rPr>
          <w:color w:val="000000"/>
          <w:szCs w:val="24"/>
          <w:lang w:val="es-ES"/>
        </w:rPr>
      </w:pPr>
      <w:r w:rsidRPr="000F7F65">
        <w:rPr>
          <w:color w:val="000000"/>
          <w:szCs w:val="24"/>
          <w:lang w:val="es-ES"/>
        </w:rPr>
        <w:t xml:space="preserve">Es vital que los miembros del </w:t>
      </w:r>
      <w:r w:rsidR="00B72B62">
        <w:rPr>
          <w:color w:val="000000"/>
          <w:szCs w:val="24"/>
          <w:lang w:val="es-ES"/>
        </w:rPr>
        <w:t>CEI</w:t>
      </w:r>
      <w:r w:rsidR="009A4F52">
        <w:rPr>
          <w:color w:val="000000"/>
          <w:szCs w:val="24"/>
          <w:lang w:val="es-ES"/>
        </w:rPr>
        <w:t xml:space="preserve"> y</w:t>
      </w:r>
      <w:r w:rsidR="00B72B62">
        <w:rPr>
          <w:color w:val="000000"/>
          <w:szCs w:val="24"/>
          <w:lang w:val="es-ES"/>
        </w:rPr>
        <w:t xml:space="preserve"> J</w:t>
      </w:r>
      <w:r w:rsidRPr="000F7F65">
        <w:rPr>
          <w:color w:val="000000"/>
          <w:szCs w:val="24"/>
          <w:lang w:val="es-ES"/>
        </w:rPr>
        <w:t>e</w:t>
      </w:r>
      <w:r w:rsidR="00B72B62">
        <w:rPr>
          <w:color w:val="000000"/>
          <w:szCs w:val="24"/>
          <w:lang w:val="es-ES"/>
        </w:rPr>
        <w:t>fes de D</w:t>
      </w:r>
      <w:r w:rsidRPr="000F7F65">
        <w:rPr>
          <w:color w:val="000000"/>
          <w:szCs w:val="24"/>
          <w:lang w:val="es-ES"/>
        </w:rPr>
        <w:t>epartamento</w:t>
      </w:r>
      <w:r w:rsidR="000F7F65" w:rsidRPr="000F7F65">
        <w:rPr>
          <w:color w:val="000000"/>
          <w:szCs w:val="24"/>
          <w:lang w:val="es-ES"/>
        </w:rPr>
        <w:t>,</w:t>
      </w:r>
      <w:r w:rsidRPr="000F7F65">
        <w:rPr>
          <w:color w:val="000000"/>
          <w:szCs w:val="24"/>
          <w:lang w:val="es-ES"/>
        </w:rPr>
        <w:t xml:space="preserve"> así como los responsables de la investigación</w:t>
      </w:r>
      <w:r w:rsidR="009A4F52">
        <w:rPr>
          <w:color w:val="000000"/>
          <w:szCs w:val="24"/>
          <w:lang w:val="es-ES"/>
        </w:rPr>
        <w:t>,</w:t>
      </w:r>
      <w:r w:rsidRPr="000F7F65">
        <w:rPr>
          <w:color w:val="000000"/>
          <w:szCs w:val="24"/>
          <w:lang w:val="es-ES"/>
        </w:rPr>
        <w:t xml:space="preserve"> tengan un acceso libre y abierto a los más altos niveles de autoridad dentro de la Facultad de Medicina y </w:t>
      </w:r>
      <w:r w:rsidR="009A4F52">
        <w:rPr>
          <w:color w:val="000000"/>
          <w:szCs w:val="24"/>
          <w:lang w:val="es-ES"/>
        </w:rPr>
        <w:t xml:space="preserve">el </w:t>
      </w:r>
      <w:r w:rsidRPr="000F7F65">
        <w:rPr>
          <w:color w:val="000000"/>
          <w:szCs w:val="24"/>
          <w:lang w:val="es-ES"/>
        </w:rPr>
        <w:t>Hospital Universitario.</w:t>
      </w:r>
    </w:p>
    <w:p w:rsidR="00DC0A38" w:rsidRPr="000F7F65" w:rsidRDefault="00DC0A38" w:rsidP="00DC0A38">
      <w:pPr>
        <w:pStyle w:val="level1bodystyle"/>
        <w:jc w:val="both"/>
        <w:rPr>
          <w:color w:val="000000"/>
          <w:szCs w:val="24"/>
          <w:lang w:val="es-ES"/>
        </w:rPr>
      </w:pPr>
      <w:r w:rsidRPr="000F7F65">
        <w:rPr>
          <w:color w:val="000000"/>
          <w:szCs w:val="24"/>
          <w:lang w:val="es-ES"/>
        </w:rPr>
        <w:t xml:space="preserve">El investigador </w:t>
      </w:r>
      <w:r w:rsidR="000F7F65" w:rsidRPr="000F7F65">
        <w:rPr>
          <w:color w:val="000000"/>
          <w:szCs w:val="24"/>
          <w:lang w:val="es-ES"/>
        </w:rPr>
        <w:t>y s</w:t>
      </w:r>
      <w:r w:rsidRPr="000F7F65">
        <w:rPr>
          <w:color w:val="000000"/>
          <w:szCs w:val="24"/>
          <w:lang w:val="es-ES"/>
        </w:rPr>
        <w:t>u equipo interactúan con los sujetos del estudio</w:t>
      </w:r>
      <w:r w:rsidR="000F7F65" w:rsidRPr="000F7F65">
        <w:rPr>
          <w:color w:val="000000"/>
          <w:szCs w:val="24"/>
          <w:lang w:val="es-ES"/>
        </w:rPr>
        <w:t>,</w:t>
      </w:r>
      <w:r w:rsidRPr="000F7F65">
        <w:rPr>
          <w:color w:val="000000"/>
          <w:szCs w:val="24"/>
          <w:lang w:val="es-ES"/>
        </w:rPr>
        <w:t xml:space="preserve"> por lo que la comunicación </w:t>
      </w:r>
      <w:r w:rsidR="00B72B62">
        <w:rPr>
          <w:color w:val="000000"/>
          <w:szCs w:val="24"/>
          <w:lang w:val="es-ES"/>
        </w:rPr>
        <w:t>e</w:t>
      </w:r>
      <w:r w:rsidRPr="000F7F65">
        <w:rPr>
          <w:color w:val="000000"/>
          <w:szCs w:val="24"/>
          <w:lang w:val="es-ES"/>
        </w:rPr>
        <w:t>ntre ellos es frecuente</w:t>
      </w:r>
      <w:r w:rsidR="009A4F52">
        <w:rPr>
          <w:color w:val="000000"/>
          <w:szCs w:val="24"/>
          <w:lang w:val="es-ES"/>
        </w:rPr>
        <w:t>,</w:t>
      </w:r>
      <w:r w:rsidRPr="000F7F65">
        <w:rPr>
          <w:color w:val="000000"/>
          <w:szCs w:val="24"/>
          <w:lang w:val="es-ES"/>
        </w:rPr>
        <w:t xml:space="preserve"> y </w:t>
      </w:r>
      <w:r w:rsidR="000F7F65" w:rsidRPr="000F7F65">
        <w:rPr>
          <w:color w:val="000000"/>
          <w:szCs w:val="24"/>
          <w:lang w:val="es-ES"/>
        </w:rPr>
        <w:t xml:space="preserve">es necesario </w:t>
      </w:r>
      <w:r w:rsidRPr="000F7F65">
        <w:rPr>
          <w:color w:val="000000"/>
          <w:szCs w:val="24"/>
          <w:lang w:val="es-ES"/>
        </w:rPr>
        <w:t>que esta se mantenga.</w:t>
      </w:r>
    </w:p>
    <w:p w:rsidR="00DC0A38" w:rsidRPr="000F7F65" w:rsidRDefault="00DC0A38" w:rsidP="00DC0A38">
      <w:pPr>
        <w:pStyle w:val="Ttulo2"/>
        <w:jc w:val="both"/>
        <w:rPr>
          <w:rFonts w:ascii="Arial" w:hAnsi="Arial" w:cs="Arial"/>
          <w:color w:val="000000"/>
          <w:sz w:val="24"/>
          <w:szCs w:val="24"/>
        </w:rPr>
      </w:pPr>
      <w:r w:rsidRPr="000F7F65">
        <w:rPr>
          <w:rFonts w:ascii="Arial" w:hAnsi="Arial" w:cs="Arial"/>
          <w:color w:val="000000"/>
          <w:sz w:val="24"/>
          <w:szCs w:val="24"/>
        </w:rPr>
        <w:t>Políticas específicas</w:t>
      </w:r>
    </w:p>
    <w:p w:rsidR="00DC0A38" w:rsidRDefault="00DC0A38" w:rsidP="00DC0A38">
      <w:pPr>
        <w:pStyle w:val="Ttulo5"/>
        <w:ind w:left="360"/>
        <w:jc w:val="both"/>
        <w:rPr>
          <w:rFonts w:ascii="Arial" w:hAnsi="Arial" w:cs="Arial"/>
          <w:caps/>
          <w:color w:val="000000" w:themeColor="text1"/>
        </w:rPr>
      </w:pPr>
      <w:r w:rsidRPr="00234788">
        <w:rPr>
          <w:rFonts w:ascii="Arial" w:hAnsi="Arial" w:cs="Arial"/>
          <w:caps/>
          <w:color w:val="000000" w:themeColor="text1"/>
        </w:rPr>
        <w:t>1.1 Notificaciones al Investigador</w:t>
      </w:r>
    </w:p>
    <w:p w:rsidR="00234788" w:rsidRPr="00234788" w:rsidRDefault="00234788" w:rsidP="00234788"/>
    <w:p w:rsidR="00DC0A38" w:rsidRPr="000F7F65" w:rsidRDefault="00DC0A38" w:rsidP="00DC0A38">
      <w:pPr>
        <w:pStyle w:val="level2bodystyle"/>
        <w:jc w:val="both"/>
        <w:rPr>
          <w:color w:val="000000"/>
          <w:sz w:val="24"/>
          <w:szCs w:val="24"/>
          <w:lang w:val="es-ES"/>
        </w:rPr>
      </w:pPr>
      <w:r w:rsidRPr="000F7F65">
        <w:rPr>
          <w:color w:val="000000"/>
          <w:sz w:val="24"/>
          <w:szCs w:val="24"/>
          <w:lang w:val="es-ES"/>
        </w:rPr>
        <w:t>1.1.1. Sometimiento inicial: El investigador será notificado</w:t>
      </w:r>
      <w:r w:rsidR="000F7F65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por escrito</w:t>
      </w:r>
      <w:r w:rsidR="000F7F65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de la decisión del </w:t>
      </w:r>
      <w:r w:rsidR="00B72B62">
        <w:rPr>
          <w:color w:val="000000"/>
          <w:sz w:val="24"/>
          <w:szCs w:val="24"/>
          <w:lang w:val="es-ES"/>
        </w:rPr>
        <w:t>CEI</w:t>
      </w:r>
      <w:r w:rsidRPr="000F7F65">
        <w:rPr>
          <w:color w:val="000000"/>
          <w:sz w:val="24"/>
          <w:szCs w:val="24"/>
          <w:lang w:val="es-ES"/>
        </w:rPr>
        <w:t xml:space="preserve"> y del Comité de  Investigación tan pronto sea posible después de la reunión. Si la aprobación depende de información requerida al investigador o al patrocinador, el </w:t>
      </w:r>
      <w:r w:rsidR="00B72B62">
        <w:rPr>
          <w:color w:val="000000"/>
          <w:sz w:val="24"/>
          <w:szCs w:val="24"/>
          <w:lang w:val="es-ES"/>
        </w:rPr>
        <w:t>CEI</w:t>
      </w:r>
      <w:r w:rsidRPr="000F7F65">
        <w:rPr>
          <w:color w:val="000000"/>
          <w:sz w:val="24"/>
          <w:szCs w:val="24"/>
          <w:lang w:val="es-ES"/>
        </w:rPr>
        <w:t xml:space="preserve">  deberá recibir dicha información a más tardar en 90 días a partir de la fecha de notificación. Este periodo puede ser extendido si el investigador lo solicita.</w:t>
      </w:r>
    </w:p>
    <w:p w:rsidR="00DC0A38" w:rsidRPr="000F7F65" w:rsidRDefault="00DC0A38" w:rsidP="00DC0A38">
      <w:pPr>
        <w:pStyle w:val="level2bodystyle"/>
        <w:jc w:val="both"/>
        <w:rPr>
          <w:color w:val="000000"/>
          <w:sz w:val="24"/>
          <w:szCs w:val="24"/>
          <w:lang w:val="es-ES"/>
        </w:rPr>
      </w:pPr>
      <w:r w:rsidRPr="000F7F65">
        <w:rPr>
          <w:color w:val="000000"/>
          <w:sz w:val="24"/>
          <w:szCs w:val="24"/>
          <w:lang w:val="es-ES"/>
        </w:rPr>
        <w:t>1.1.2. Renovaciones y revisiones: Los investigadores serán notificados</w:t>
      </w:r>
      <w:r w:rsidR="000F7F65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por escrito</w:t>
      </w:r>
      <w:r w:rsidR="000F7F65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tan pronto </w:t>
      </w:r>
      <w:r w:rsidR="000F7F65">
        <w:rPr>
          <w:color w:val="000000"/>
          <w:sz w:val="24"/>
          <w:szCs w:val="24"/>
          <w:lang w:val="es-ES"/>
        </w:rPr>
        <w:t xml:space="preserve">como </w:t>
      </w:r>
      <w:r w:rsidRPr="000F7F65">
        <w:rPr>
          <w:color w:val="000000"/>
          <w:sz w:val="24"/>
          <w:szCs w:val="24"/>
          <w:lang w:val="es-ES"/>
        </w:rPr>
        <w:t>sea posible</w:t>
      </w:r>
      <w:r w:rsidR="000F7F65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de la acción tomada por el </w:t>
      </w:r>
      <w:r w:rsidR="00B72B62">
        <w:rPr>
          <w:color w:val="000000"/>
          <w:sz w:val="24"/>
          <w:szCs w:val="24"/>
          <w:lang w:val="es-ES"/>
        </w:rPr>
        <w:t>CEI</w:t>
      </w:r>
      <w:r w:rsidR="000F7F65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 ya sea de continuar las revision</w:t>
      </w:r>
      <w:r w:rsidR="000F7F65">
        <w:rPr>
          <w:color w:val="000000"/>
          <w:sz w:val="24"/>
          <w:szCs w:val="24"/>
          <w:lang w:val="es-ES"/>
        </w:rPr>
        <w:t>e</w:t>
      </w:r>
      <w:r w:rsidRPr="000F7F65">
        <w:rPr>
          <w:color w:val="000000"/>
          <w:sz w:val="24"/>
          <w:szCs w:val="24"/>
          <w:lang w:val="es-ES"/>
        </w:rPr>
        <w:t>s o no.</w:t>
      </w:r>
    </w:p>
    <w:p w:rsidR="00DC0A38" w:rsidRPr="000F7F65" w:rsidRDefault="00DC0A38" w:rsidP="00DC0A38">
      <w:pPr>
        <w:pStyle w:val="level2bodystyle"/>
        <w:jc w:val="both"/>
        <w:rPr>
          <w:color w:val="000000"/>
          <w:sz w:val="24"/>
          <w:szCs w:val="24"/>
          <w:lang w:val="es-ES"/>
        </w:rPr>
      </w:pPr>
      <w:r w:rsidRPr="000F7F65">
        <w:rPr>
          <w:color w:val="000000"/>
          <w:sz w:val="24"/>
          <w:szCs w:val="24"/>
          <w:lang w:val="es-ES"/>
        </w:rPr>
        <w:t xml:space="preserve">1.1.3. </w:t>
      </w:r>
      <w:r w:rsidR="000F7F65">
        <w:rPr>
          <w:color w:val="000000"/>
          <w:sz w:val="24"/>
          <w:szCs w:val="24"/>
          <w:lang w:val="es-ES"/>
        </w:rPr>
        <w:t>Notificación de la Aprobación Fi</w:t>
      </w:r>
      <w:r w:rsidRPr="000F7F65">
        <w:rPr>
          <w:color w:val="000000"/>
          <w:sz w:val="24"/>
          <w:szCs w:val="24"/>
          <w:lang w:val="es-ES"/>
        </w:rPr>
        <w:t>nal: Los investigadores serán  notificados</w:t>
      </w:r>
      <w:r w:rsidR="000F7F65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por escrito</w:t>
      </w:r>
      <w:r w:rsidR="000F7F65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de la resolución final del </w:t>
      </w:r>
      <w:r w:rsidR="00B72B62">
        <w:rPr>
          <w:color w:val="000000"/>
          <w:sz w:val="24"/>
          <w:szCs w:val="24"/>
          <w:lang w:val="es-ES"/>
        </w:rPr>
        <w:t>CEI</w:t>
      </w:r>
      <w:r w:rsidRPr="000F7F65">
        <w:rPr>
          <w:color w:val="000000"/>
          <w:sz w:val="24"/>
          <w:szCs w:val="24"/>
          <w:lang w:val="es-ES"/>
        </w:rPr>
        <w:t xml:space="preserve">. La forma de consentimiento informado aprobada por el </w:t>
      </w:r>
      <w:r w:rsidR="00B72B62">
        <w:rPr>
          <w:color w:val="000000"/>
          <w:sz w:val="24"/>
          <w:szCs w:val="24"/>
          <w:lang w:val="es-ES"/>
        </w:rPr>
        <w:t>CEI</w:t>
      </w:r>
      <w:r w:rsidRPr="000F7F65">
        <w:rPr>
          <w:color w:val="000000"/>
          <w:sz w:val="24"/>
          <w:szCs w:val="24"/>
          <w:lang w:val="es-ES"/>
        </w:rPr>
        <w:t xml:space="preserve">  será fechada  a partir de </w:t>
      </w:r>
      <w:r w:rsidRPr="000F7F65">
        <w:rPr>
          <w:color w:val="000000"/>
          <w:sz w:val="24"/>
          <w:szCs w:val="24"/>
          <w:lang w:val="es-ES"/>
        </w:rPr>
        <w:lastRenderedPageBreak/>
        <w:t xml:space="preserve">la aprobación del </w:t>
      </w:r>
      <w:r w:rsidR="000F7F65">
        <w:rPr>
          <w:color w:val="000000"/>
          <w:sz w:val="24"/>
          <w:szCs w:val="24"/>
          <w:lang w:val="es-ES"/>
        </w:rPr>
        <w:t>protocolo. Las c</w:t>
      </w:r>
      <w:r w:rsidRPr="000F7F65">
        <w:rPr>
          <w:color w:val="000000"/>
          <w:sz w:val="24"/>
          <w:szCs w:val="24"/>
          <w:lang w:val="es-ES"/>
        </w:rPr>
        <w:t>ondiciones para continuar con la aprobación incluyen</w:t>
      </w:r>
      <w:r w:rsidR="000F7F65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pero no se limitan a:</w:t>
      </w:r>
    </w:p>
    <w:p w:rsidR="00DC0A38" w:rsidRPr="000F7F65" w:rsidRDefault="000F7F65" w:rsidP="00DC0A38">
      <w:pPr>
        <w:pStyle w:val="level2bodystyle"/>
        <w:numPr>
          <w:ilvl w:val="0"/>
          <w:numId w:val="33"/>
        </w:numPr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O</w:t>
      </w:r>
      <w:r w:rsidRPr="000F7F65">
        <w:rPr>
          <w:color w:val="000000"/>
          <w:sz w:val="24"/>
          <w:szCs w:val="24"/>
          <w:lang w:val="es-ES"/>
        </w:rPr>
        <w:t>bt</w:t>
      </w:r>
      <w:r>
        <w:rPr>
          <w:color w:val="000000"/>
          <w:sz w:val="24"/>
          <w:szCs w:val="24"/>
          <w:lang w:val="es-ES"/>
        </w:rPr>
        <w:t>ención y documentación del</w:t>
      </w:r>
      <w:r w:rsidR="00DC0A38" w:rsidRPr="000F7F65">
        <w:rPr>
          <w:color w:val="000000"/>
          <w:sz w:val="24"/>
          <w:szCs w:val="24"/>
          <w:lang w:val="es-ES"/>
        </w:rPr>
        <w:t xml:space="preserve"> consentimiento informado</w:t>
      </w:r>
      <w:r>
        <w:rPr>
          <w:color w:val="000000"/>
          <w:sz w:val="24"/>
          <w:szCs w:val="24"/>
          <w:lang w:val="es-ES"/>
        </w:rPr>
        <w:t xml:space="preserve">, como se </w:t>
      </w:r>
      <w:r w:rsidR="00DC0A38" w:rsidRPr="000F7F65">
        <w:rPr>
          <w:color w:val="000000"/>
          <w:sz w:val="24"/>
          <w:szCs w:val="24"/>
          <w:lang w:val="es-ES"/>
        </w:rPr>
        <w:t xml:space="preserve">estipula </w:t>
      </w:r>
      <w:r>
        <w:rPr>
          <w:color w:val="000000"/>
          <w:sz w:val="24"/>
          <w:szCs w:val="24"/>
          <w:lang w:val="es-ES"/>
        </w:rPr>
        <w:t xml:space="preserve">en los </w:t>
      </w:r>
      <w:proofErr w:type="spellStart"/>
      <w:r w:rsidR="00DC0A38" w:rsidRPr="000F7F65">
        <w:rPr>
          <w:color w:val="000000"/>
          <w:sz w:val="24"/>
          <w:szCs w:val="24"/>
          <w:lang w:val="es-ES"/>
        </w:rPr>
        <w:t>SOP</w:t>
      </w:r>
      <w:r>
        <w:rPr>
          <w:color w:val="000000"/>
          <w:sz w:val="24"/>
          <w:szCs w:val="24"/>
          <w:lang w:val="es-ES"/>
        </w:rPr>
        <w:t>s</w:t>
      </w:r>
      <w:proofErr w:type="spellEnd"/>
      <w:r w:rsidR="00DC0A38" w:rsidRPr="000F7F65">
        <w:rPr>
          <w:color w:val="000000"/>
          <w:sz w:val="24"/>
          <w:szCs w:val="24"/>
          <w:lang w:val="es-ES"/>
        </w:rPr>
        <w:t xml:space="preserve"> IC</w:t>
      </w:r>
      <w:r>
        <w:rPr>
          <w:color w:val="000000"/>
          <w:sz w:val="24"/>
          <w:szCs w:val="24"/>
          <w:lang w:val="es-ES"/>
        </w:rPr>
        <w:t xml:space="preserve"> </w:t>
      </w:r>
      <w:r w:rsidR="00DC0A38" w:rsidRPr="000F7F65">
        <w:rPr>
          <w:color w:val="000000"/>
          <w:sz w:val="24"/>
          <w:szCs w:val="24"/>
          <w:lang w:val="es-ES"/>
        </w:rPr>
        <w:t>701-703</w:t>
      </w:r>
    </w:p>
    <w:p w:rsidR="00DC0A38" w:rsidRPr="000F7F65" w:rsidRDefault="009A4F52" w:rsidP="00DC0A38">
      <w:pPr>
        <w:pStyle w:val="level2bodystyle"/>
        <w:numPr>
          <w:ilvl w:val="0"/>
          <w:numId w:val="33"/>
        </w:numPr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 xml:space="preserve">El </w:t>
      </w:r>
      <w:r w:rsidR="00B72B62">
        <w:rPr>
          <w:color w:val="000000"/>
          <w:sz w:val="24"/>
          <w:szCs w:val="24"/>
          <w:lang w:val="es-ES"/>
        </w:rPr>
        <w:t>CEI</w:t>
      </w:r>
      <w:r w:rsidR="00DC0A38" w:rsidRPr="000F7F65">
        <w:rPr>
          <w:color w:val="000000"/>
          <w:sz w:val="24"/>
          <w:szCs w:val="24"/>
          <w:lang w:val="es-ES"/>
        </w:rPr>
        <w:t xml:space="preserve"> debe ser informado de cualquier evento adverso de acuerdo a lo descrito en </w:t>
      </w:r>
      <w:r>
        <w:rPr>
          <w:color w:val="000000"/>
          <w:sz w:val="24"/>
          <w:szCs w:val="24"/>
          <w:lang w:val="es-ES"/>
        </w:rPr>
        <w:t>e</w:t>
      </w:r>
      <w:r w:rsidR="000F7F65">
        <w:rPr>
          <w:color w:val="000000"/>
          <w:sz w:val="24"/>
          <w:szCs w:val="24"/>
          <w:lang w:val="es-ES"/>
        </w:rPr>
        <w:t xml:space="preserve">l </w:t>
      </w:r>
      <w:r w:rsidR="00DC0A38" w:rsidRPr="000F7F65">
        <w:rPr>
          <w:color w:val="000000"/>
          <w:sz w:val="24"/>
          <w:szCs w:val="24"/>
          <w:lang w:val="es-ES"/>
        </w:rPr>
        <w:t>SOP RR 403</w:t>
      </w:r>
    </w:p>
    <w:p w:rsidR="00DC0A38" w:rsidRPr="000F7F65" w:rsidRDefault="00DC0A38" w:rsidP="00DC0A38">
      <w:pPr>
        <w:pStyle w:val="level2bodystyle"/>
        <w:numPr>
          <w:ilvl w:val="0"/>
          <w:numId w:val="33"/>
        </w:numPr>
        <w:jc w:val="both"/>
        <w:rPr>
          <w:color w:val="000000"/>
          <w:sz w:val="24"/>
          <w:szCs w:val="24"/>
          <w:lang w:val="es-ES"/>
        </w:rPr>
      </w:pPr>
      <w:r w:rsidRPr="000F7F65">
        <w:rPr>
          <w:color w:val="000000"/>
          <w:sz w:val="24"/>
          <w:szCs w:val="24"/>
          <w:lang w:val="es-ES"/>
        </w:rPr>
        <w:t>Cambios al protocolo</w:t>
      </w:r>
      <w:r w:rsidR="000F7F65">
        <w:rPr>
          <w:color w:val="000000"/>
          <w:sz w:val="24"/>
          <w:szCs w:val="24"/>
          <w:lang w:val="es-ES"/>
        </w:rPr>
        <w:t xml:space="preserve"> y </w:t>
      </w:r>
      <w:r w:rsidRPr="000F7F65">
        <w:rPr>
          <w:color w:val="000000"/>
          <w:sz w:val="24"/>
          <w:szCs w:val="24"/>
          <w:lang w:val="es-ES"/>
        </w:rPr>
        <w:t>desviaciones al protocolo debe</w:t>
      </w:r>
      <w:r w:rsidR="000F7F65">
        <w:rPr>
          <w:color w:val="000000"/>
          <w:sz w:val="24"/>
          <w:szCs w:val="24"/>
          <w:lang w:val="es-ES"/>
        </w:rPr>
        <w:t>n ser reportado</w:t>
      </w:r>
      <w:r w:rsidRPr="000F7F65">
        <w:rPr>
          <w:color w:val="000000"/>
          <w:sz w:val="24"/>
          <w:szCs w:val="24"/>
          <w:lang w:val="es-ES"/>
        </w:rPr>
        <w:t xml:space="preserve">s  según lo descrito en </w:t>
      </w:r>
      <w:r w:rsidR="000F7F65">
        <w:rPr>
          <w:color w:val="000000"/>
          <w:sz w:val="24"/>
          <w:szCs w:val="24"/>
          <w:lang w:val="es-ES"/>
        </w:rPr>
        <w:t xml:space="preserve">el </w:t>
      </w:r>
      <w:r w:rsidRPr="000F7F65">
        <w:rPr>
          <w:color w:val="000000"/>
          <w:sz w:val="24"/>
          <w:szCs w:val="24"/>
          <w:lang w:val="es-ES"/>
        </w:rPr>
        <w:t>SOP RR</w:t>
      </w:r>
      <w:r w:rsidR="000F7F65">
        <w:rPr>
          <w:color w:val="000000"/>
          <w:sz w:val="24"/>
          <w:szCs w:val="24"/>
          <w:lang w:val="es-ES"/>
        </w:rPr>
        <w:t xml:space="preserve"> </w:t>
      </w:r>
      <w:r w:rsidRPr="000F7F65">
        <w:rPr>
          <w:color w:val="000000"/>
          <w:sz w:val="24"/>
          <w:szCs w:val="24"/>
          <w:lang w:val="es-ES"/>
        </w:rPr>
        <w:t>403.</w:t>
      </w:r>
    </w:p>
    <w:p w:rsidR="00DC0A38" w:rsidRPr="000F7F65" w:rsidRDefault="00DC0A38" w:rsidP="00DC0A38">
      <w:pPr>
        <w:pStyle w:val="level2bodystyle"/>
        <w:numPr>
          <w:ilvl w:val="0"/>
          <w:numId w:val="33"/>
        </w:numPr>
        <w:jc w:val="both"/>
        <w:rPr>
          <w:color w:val="000000"/>
          <w:sz w:val="24"/>
          <w:szCs w:val="24"/>
          <w:lang w:val="es-ES"/>
        </w:rPr>
      </w:pPr>
      <w:r w:rsidRPr="000F7F65">
        <w:rPr>
          <w:color w:val="000000"/>
          <w:sz w:val="24"/>
          <w:szCs w:val="24"/>
          <w:lang w:val="es-ES"/>
        </w:rPr>
        <w:t xml:space="preserve">Los reportes de eventos no anticipados o eventos no descritos </w:t>
      </w:r>
      <w:r w:rsidR="00234788">
        <w:rPr>
          <w:color w:val="000000"/>
          <w:sz w:val="24"/>
          <w:szCs w:val="24"/>
          <w:lang w:val="es-ES"/>
        </w:rPr>
        <w:t xml:space="preserve">previamente </w:t>
      </w:r>
      <w:r w:rsidRPr="000F7F65">
        <w:rPr>
          <w:color w:val="000000"/>
          <w:sz w:val="24"/>
          <w:szCs w:val="24"/>
          <w:lang w:val="es-ES"/>
        </w:rPr>
        <w:t xml:space="preserve">que involucren un riesgo </w:t>
      </w:r>
      <w:r w:rsidR="00234788">
        <w:rPr>
          <w:color w:val="000000"/>
          <w:sz w:val="24"/>
          <w:szCs w:val="24"/>
          <w:lang w:val="es-ES"/>
        </w:rPr>
        <w:t xml:space="preserve">mayor </w:t>
      </w:r>
      <w:r w:rsidRPr="000F7F65">
        <w:rPr>
          <w:color w:val="000000"/>
          <w:sz w:val="24"/>
          <w:szCs w:val="24"/>
          <w:lang w:val="es-ES"/>
        </w:rPr>
        <w:t>o que afecten la seguridad del sujeto o de terceros</w:t>
      </w:r>
      <w:r w:rsidR="00234788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o que afecten la integridad de la investigación</w:t>
      </w:r>
      <w:r w:rsidR="00234788">
        <w:rPr>
          <w:color w:val="000000"/>
          <w:sz w:val="24"/>
          <w:szCs w:val="24"/>
          <w:lang w:val="es-ES"/>
        </w:rPr>
        <w:t>,</w:t>
      </w:r>
      <w:r w:rsidRPr="000F7F65">
        <w:rPr>
          <w:color w:val="000000"/>
          <w:sz w:val="24"/>
          <w:szCs w:val="24"/>
          <w:lang w:val="es-ES"/>
        </w:rPr>
        <w:t xml:space="preserve"> deben ser reportados tan pronto sea posible.</w:t>
      </w:r>
    </w:p>
    <w:p w:rsidR="00DC0A38" w:rsidRPr="000F7F65" w:rsidRDefault="00234788" w:rsidP="00DC0A38">
      <w:pPr>
        <w:pStyle w:val="level2bodystyle"/>
        <w:numPr>
          <w:ilvl w:val="0"/>
          <w:numId w:val="33"/>
        </w:numPr>
        <w:jc w:val="both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lang w:val="es-ES"/>
        </w:rPr>
        <w:t>Los reportes de revisión c</w:t>
      </w:r>
      <w:r w:rsidR="00DC0A38" w:rsidRPr="000F7F65">
        <w:rPr>
          <w:color w:val="000000"/>
          <w:sz w:val="24"/>
          <w:szCs w:val="24"/>
          <w:lang w:val="es-ES"/>
        </w:rPr>
        <w:t xml:space="preserve">ontinua serán sometidos al </w:t>
      </w:r>
      <w:r w:rsidR="00B72B62">
        <w:rPr>
          <w:color w:val="000000"/>
          <w:sz w:val="24"/>
          <w:szCs w:val="24"/>
          <w:lang w:val="es-ES"/>
        </w:rPr>
        <w:t>CEI</w:t>
      </w:r>
      <w:r w:rsidR="00DC0A38" w:rsidRPr="000F7F65">
        <w:rPr>
          <w:color w:val="000000"/>
          <w:sz w:val="24"/>
          <w:szCs w:val="24"/>
          <w:lang w:val="es-ES"/>
        </w:rPr>
        <w:t xml:space="preserve">  tal como se describe en el SOP RR</w:t>
      </w:r>
      <w:r>
        <w:rPr>
          <w:color w:val="000000"/>
          <w:sz w:val="24"/>
          <w:szCs w:val="24"/>
          <w:lang w:val="es-ES"/>
        </w:rPr>
        <w:t xml:space="preserve"> </w:t>
      </w:r>
      <w:r w:rsidR="00DC0A38" w:rsidRPr="000F7F65">
        <w:rPr>
          <w:color w:val="000000"/>
          <w:sz w:val="24"/>
          <w:szCs w:val="24"/>
          <w:lang w:val="es-ES"/>
        </w:rPr>
        <w:t>404.</w:t>
      </w:r>
    </w:p>
    <w:p w:rsidR="00DC0A38" w:rsidRDefault="00234788" w:rsidP="00234788">
      <w:pPr>
        <w:pStyle w:val="Ttulo2"/>
        <w:ind w:left="709" w:hanging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234788">
        <w:rPr>
          <w:rFonts w:ascii="Arial" w:hAnsi="Arial" w:cs="Arial"/>
          <w:b w:val="0"/>
          <w:color w:val="000000"/>
          <w:sz w:val="24"/>
          <w:szCs w:val="24"/>
        </w:rPr>
        <w:t xml:space="preserve">1.2.  APELACIÓN DEL INVESTIGADOR AL </w:t>
      </w:r>
      <w:r w:rsidR="00B72B62">
        <w:rPr>
          <w:rFonts w:ascii="Arial" w:hAnsi="Arial" w:cs="Arial"/>
          <w:b w:val="0"/>
          <w:color w:val="000000"/>
          <w:sz w:val="24"/>
          <w:szCs w:val="24"/>
        </w:rPr>
        <w:t>CEI</w:t>
      </w:r>
    </w:p>
    <w:p w:rsidR="00234788" w:rsidRPr="00234788" w:rsidRDefault="00234788" w:rsidP="00234788">
      <w:pPr>
        <w:ind w:left="567" w:hanging="709"/>
      </w:pPr>
    </w:p>
    <w:p w:rsidR="00DC0A38" w:rsidRPr="000F7F65" w:rsidRDefault="00DC0A38" w:rsidP="00234788">
      <w:pPr>
        <w:pStyle w:val="List-Level2"/>
        <w:ind w:left="993" w:firstLine="0"/>
        <w:jc w:val="both"/>
        <w:rPr>
          <w:color w:val="000000"/>
          <w:sz w:val="24"/>
          <w:szCs w:val="24"/>
          <w:lang w:val="es-ES"/>
        </w:rPr>
      </w:pPr>
      <w:r w:rsidRPr="000F7F65">
        <w:rPr>
          <w:color w:val="000000"/>
          <w:sz w:val="24"/>
          <w:szCs w:val="24"/>
          <w:lang w:val="es-ES"/>
        </w:rPr>
        <w:t xml:space="preserve">Un investigador puede apelar las revisiones requeridas por el </w:t>
      </w:r>
      <w:r w:rsidR="00B72B62">
        <w:rPr>
          <w:color w:val="000000"/>
          <w:sz w:val="24"/>
          <w:szCs w:val="24"/>
          <w:lang w:val="es-ES"/>
        </w:rPr>
        <w:t>CEI</w:t>
      </w:r>
      <w:r w:rsidRPr="000F7F65">
        <w:rPr>
          <w:color w:val="000000"/>
          <w:sz w:val="24"/>
          <w:szCs w:val="24"/>
          <w:lang w:val="es-ES"/>
        </w:rPr>
        <w:t xml:space="preserve">  en </w:t>
      </w:r>
      <w:r w:rsidR="00234788">
        <w:rPr>
          <w:color w:val="000000"/>
          <w:sz w:val="24"/>
          <w:szCs w:val="24"/>
          <w:lang w:val="es-ES"/>
        </w:rPr>
        <w:t>relación al</w:t>
      </w:r>
      <w:r w:rsidRPr="000F7F65">
        <w:rPr>
          <w:color w:val="000000"/>
          <w:sz w:val="24"/>
          <w:szCs w:val="24"/>
          <w:lang w:val="es-ES"/>
        </w:rPr>
        <w:t xml:space="preserve"> protocolo o la forma de consentimiento. Esta apelación deberá ser por escrito y sometida al </w:t>
      </w:r>
      <w:r w:rsidR="00B72B62">
        <w:rPr>
          <w:color w:val="000000"/>
          <w:sz w:val="24"/>
          <w:szCs w:val="24"/>
          <w:lang w:val="es-ES"/>
        </w:rPr>
        <w:t>CEI</w:t>
      </w:r>
      <w:r w:rsidRPr="000F7F65">
        <w:rPr>
          <w:color w:val="000000"/>
          <w:sz w:val="24"/>
          <w:szCs w:val="24"/>
          <w:lang w:val="es-ES"/>
        </w:rPr>
        <w:t xml:space="preserve">. Los investigadores pueden apelar la decisión del </w:t>
      </w:r>
      <w:r w:rsidR="00B72B62">
        <w:rPr>
          <w:color w:val="000000"/>
          <w:sz w:val="24"/>
          <w:szCs w:val="24"/>
          <w:lang w:val="es-ES"/>
        </w:rPr>
        <w:t>CEI</w:t>
      </w:r>
      <w:r w:rsidRPr="000F7F65">
        <w:rPr>
          <w:color w:val="000000"/>
          <w:sz w:val="24"/>
          <w:szCs w:val="24"/>
          <w:lang w:val="es-ES"/>
        </w:rPr>
        <w:t xml:space="preserve"> </w:t>
      </w:r>
      <w:r w:rsidR="00EB73B5">
        <w:rPr>
          <w:color w:val="000000"/>
          <w:sz w:val="24"/>
          <w:szCs w:val="24"/>
          <w:lang w:val="es-ES"/>
        </w:rPr>
        <w:t>por la</w:t>
      </w:r>
      <w:r w:rsidRPr="000F7F65">
        <w:rPr>
          <w:color w:val="000000"/>
          <w:sz w:val="24"/>
          <w:szCs w:val="24"/>
          <w:lang w:val="es-ES"/>
        </w:rPr>
        <w:t xml:space="preserve"> </w:t>
      </w:r>
      <w:r w:rsidR="00234788">
        <w:rPr>
          <w:color w:val="000000"/>
          <w:sz w:val="24"/>
          <w:szCs w:val="24"/>
          <w:lang w:val="es-ES"/>
        </w:rPr>
        <w:t>desaprobación de los p</w:t>
      </w:r>
      <w:r w:rsidRPr="000F7F65">
        <w:rPr>
          <w:color w:val="000000"/>
          <w:sz w:val="24"/>
          <w:szCs w:val="24"/>
          <w:lang w:val="es-ES"/>
        </w:rPr>
        <w:t>rotocolo</w:t>
      </w:r>
      <w:r w:rsidR="00234788">
        <w:rPr>
          <w:color w:val="000000"/>
          <w:sz w:val="24"/>
          <w:szCs w:val="24"/>
          <w:lang w:val="es-ES"/>
        </w:rPr>
        <w:t>s de i</w:t>
      </w:r>
      <w:r w:rsidRPr="000F7F65">
        <w:rPr>
          <w:color w:val="000000"/>
          <w:sz w:val="24"/>
          <w:szCs w:val="24"/>
          <w:lang w:val="es-ES"/>
        </w:rPr>
        <w:t xml:space="preserve">nvestigación. Todas las apelaciones deberán ser revisadas por todos los integrantes del </w:t>
      </w:r>
      <w:r w:rsidR="00B72B62">
        <w:rPr>
          <w:color w:val="000000"/>
          <w:sz w:val="24"/>
          <w:szCs w:val="24"/>
          <w:lang w:val="es-ES"/>
        </w:rPr>
        <w:t>CEI</w:t>
      </w:r>
      <w:r w:rsidRPr="000F7F65">
        <w:rPr>
          <w:color w:val="000000"/>
          <w:sz w:val="24"/>
          <w:szCs w:val="24"/>
          <w:lang w:val="es-ES"/>
        </w:rPr>
        <w:t xml:space="preserve">  en reunión ordinaria. Si la apelación es negada, el estudio se desaprueba y por lo tanto la Facultad de Medicina </w:t>
      </w:r>
      <w:r w:rsidR="00234788">
        <w:rPr>
          <w:color w:val="000000"/>
          <w:sz w:val="24"/>
          <w:szCs w:val="24"/>
          <w:lang w:val="es-ES"/>
        </w:rPr>
        <w:t>y</w:t>
      </w:r>
      <w:r w:rsidRPr="000F7F65">
        <w:rPr>
          <w:color w:val="000000"/>
          <w:sz w:val="24"/>
          <w:szCs w:val="24"/>
          <w:lang w:val="es-ES"/>
        </w:rPr>
        <w:t xml:space="preserve"> el Hospital Universitario no podrán revocar la decisión del </w:t>
      </w:r>
      <w:r w:rsidR="00B72B62">
        <w:rPr>
          <w:color w:val="000000"/>
          <w:sz w:val="24"/>
          <w:szCs w:val="24"/>
          <w:lang w:val="es-ES"/>
        </w:rPr>
        <w:t>CEI</w:t>
      </w:r>
      <w:r w:rsidRPr="000F7F65">
        <w:rPr>
          <w:color w:val="000000"/>
          <w:sz w:val="24"/>
          <w:szCs w:val="24"/>
          <w:lang w:val="es-ES"/>
        </w:rPr>
        <w:t>.</w:t>
      </w:r>
    </w:p>
    <w:p w:rsidR="00DC0A38" w:rsidRDefault="00234788" w:rsidP="00DC0A38">
      <w:pPr>
        <w:pStyle w:val="Ttulo2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234788">
        <w:rPr>
          <w:rFonts w:ascii="Arial" w:hAnsi="Arial" w:cs="Arial"/>
          <w:b w:val="0"/>
          <w:color w:val="000000"/>
          <w:sz w:val="24"/>
          <w:szCs w:val="24"/>
        </w:rPr>
        <w:t>1.3.  INCUMPLIMIENTO</w:t>
      </w:r>
    </w:p>
    <w:p w:rsidR="00234788" w:rsidRPr="00234788" w:rsidRDefault="00234788" w:rsidP="00234788"/>
    <w:p w:rsidR="00DC0A38" w:rsidRPr="000F7F65" w:rsidRDefault="00DC0A38" w:rsidP="00234788">
      <w:pPr>
        <w:ind w:left="993"/>
        <w:jc w:val="both"/>
        <w:rPr>
          <w:rFonts w:ascii="Arial" w:hAnsi="Arial" w:cs="Arial"/>
          <w:color w:val="000000"/>
        </w:rPr>
      </w:pPr>
      <w:r w:rsidRPr="000F7F65">
        <w:rPr>
          <w:rFonts w:ascii="Arial" w:hAnsi="Arial" w:cs="Arial"/>
          <w:color w:val="000000"/>
        </w:rPr>
        <w:t xml:space="preserve">El incumplimiento por parte de un investigador puede ser el resultado de una mala comunicación, es por eso que el </w:t>
      </w:r>
      <w:r w:rsidR="00B72B62">
        <w:rPr>
          <w:rFonts w:ascii="Arial" w:hAnsi="Arial" w:cs="Arial"/>
          <w:color w:val="000000"/>
        </w:rPr>
        <w:t>CEI</w:t>
      </w:r>
      <w:r w:rsidRPr="000F7F65">
        <w:rPr>
          <w:rFonts w:ascii="Arial" w:hAnsi="Arial" w:cs="Arial"/>
          <w:color w:val="000000"/>
        </w:rPr>
        <w:t xml:space="preserve">  </w:t>
      </w:r>
      <w:r w:rsidR="00234788">
        <w:rPr>
          <w:rFonts w:ascii="Arial" w:hAnsi="Arial" w:cs="Arial"/>
          <w:color w:val="000000"/>
        </w:rPr>
        <w:t xml:space="preserve">siempre </w:t>
      </w:r>
      <w:r w:rsidRPr="000F7F65">
        <w:rPr>
          <w:rFonts w:ascii="Arial" w:hAnsi="Arial" w:cs="Arial"/>
          <w:color w:val="000000"/>
        </w:rPr>
        <w:t>tratará de resolver cualquier incumplimiento sin interrumpir la conducción del estudio, especialmente si los derechos y beneficios de los pacientes están involucrados.</w:t>
      </w:r>
    </w:p>
    <w:p w:rsidR="00DC0A38" w:rsidRPr="000F7F65" w:rsidRDefault="00DC0A38" w:rsidP="00234788">
      <w:pPr>
        <w:ind w:left="993"/>
        <w:jc w:val="both"/>
        <w:rPr>
          <w:rFonts w:ascii="Arial" w:hAnsi="Arial" w:cs="Arial"/>
          <w:color w:val="000000"/>
        </w:rPr>
      </w:pPr>
      <w:r w:rsidRPr="000F7F65">
        <w:rPr>
          <w:rFonts w:ascii="Arial" w:hAnsi="Arial" w:cs="Arial"/>
          <w:color w:val="000000"/>
        </w:rPr>
        <w:t xml:space="preserve">Sin embargo, si un investigador de forma intencionada incumple, el </w:t>
      </w:r>
      <w:r w:rsidR="00B72B62">
        <w:rPr>
          <w:rFonts w:ascii="Arial" w:hAnsi="Arial" w:cs="Arial"/>
          <w:color w:val="000000"/>
        </w:rPr>
        <w:t>CEI</w:t>
      </w:r>
      <w:r w:rsidRPr="000F7F65">
        <w:rPr>
          <w:rFonts w:ascii="Arial" w:hAnsi="Arial" w:cs="Arial"/>
          <w:color w:val="000000"/>
        </w:rPr>
        <w:t xml:space="preserve"> a través de su Presidente notificará</w:t>
      </w:r>
      <w:r w:rsidR="000C7CB0">
        <w:rPr>
          <w:rFonts w:ascii="Arial" w:hAnsi="Arial" w:cs="Arial"/>
          <w:color w:val="000000"/>
        </w:rPr>
        <w:t xml:space="preserve">, </w:t>
      </w:r>
      <w:r w:rsidRPr="000F7F65">
        <w:rPr>
          <w:rFonts w:ascii="Arial" w:hAnsi="Arial" w:cs="Arial"/>
          <w:color w:val="000000"/>
        </w:rPr>
        <w:t>por escrito</w:t>
      </w:r>
      <w:r w:rsidR="000C7CB0">
        <w:rPr>
          <w:rFonts w:ascii="Arial" w:hAnsi="Arial" w:cs="Arial"/>
          <w:color w:val="000000"/>
        </w:rPr>
        <w:t>,</w:t>
      </w:r>
      <w:r w:rsidRPr="000F7F65">
        <w:rPr>
          <w:rFonts w:ascii="Arial" w:hAnsi="Arial" w:cs="Arial"/>
          <w:color w:val="000000"/>
        </w:rPr>
        <w:t xml:space="preserve"> dicho incumplimiento, especificando las acciones correctivas, dejando claro las consecuencias del incumplimiento. Copias de esta  </w:t>
      </w:r>
      <w:r w:rsidR="000C7CB0">
        <w:rPr>
          <w:rFonts w:ascii="Arial" w:hAnsi="Arial" w:cs="Arial"/>
          <w:color w:val="000000"/>
        </w:rPr>
        <w:t xml:space="preserve">notificación también </w:t>
      </w:r>
      <w:r w:rsidRPr="000F7F65">
        <w:rPr>
          <w:rFonts w:ascii="Arial" w:hAnsi="Arial" w:cs="Arial"/>
          <w:color w:val="000000"/>
        </w:rPr>
        <w:t>será</w:t>
      </w:r>
      <w:r w:rsidR="000C7CB0">
        <w:rPr>
          <w:rFonts w:ascii="Arial" w:hAnsi="Arial" w:cs="Arial"/>
          <w:color w:val="000000"/>
        </w:rPr>
        <w:t>n</w:t>
      </w:r>
      <w:r w:rsidRPr="000F7F65">
        <w:rPr>
          <w:rFonts w:ascii="Arial" w:hAnsi="Arial" w:cs="Arial"/>
          <w:color w:val="000000"/>
        </w:rPr>
        <w:t xml:space="preserve"> enviada</w:t>
      </w:r>
      <w:r w:rsidR="000C7CB0">
        <w:rPr>
          <w:rFonts w:ascii="Arial" w:hAnsi="Arial" w:cs="Arial"/>
          <w:color w:val="000000"/>
        </w:rPr>
        <w:t>s</w:t>
      </w:r>
      <w:r w:rsidRPr="000F7F65">
        <w:rPr>
          <w:rFonts w:ascii="Arial" w:hAnsi="Arial" w:cs="Arial"/>
          <w:color w:val="000000"/>
        </w:rPr>
        <w:t xml:space="preserve"> al Patrocinador, </w:t>
      </w:r>
      <w:r w:rsidR="00EB73B5">
        <w:rPr>
          <w:rFonts w:ascii="Arial" w:hAnsi="Arial" w:cs="Arial"/>
          <w:color w:val="000000"/>
        </w:rPr>
        <w:t xml:space="preserve">la </w:t>
      </w:r>
      <w:r w:rsidRPr="000F7F65">
        <w:rPr>
          <w:rFonts w:ascii="Arial" w:hAnsi="Arial" w:cs="Arial"/>
          <w:color w:val="000000"/>
        </w:rPr>
        <w:t>CRO</w:t>
      </w:r>
      <w:r w:rsidR="00EB73B5">
        <w:rPr>
          <w:rFonts w:ascii="Arial" w:hAnsi="Arial" w:cs="Arial"/>
          <w:color w:val="000000"/>
        </w:rPr>
        <w:t>,</w:t>
      </w:r>
      <w:r w:rsidRPr="000F7F65">
        <w:rPr>
          <w:rFonts w:ascii="Arial" w:hAnsi="Arial" w:cs="Arial"/>
          <w:color w:val="000000"/>
        </w:rPr>
        <w:t xml:space="preserve"> y se mantendrá una copia en el </w:t>
      </w:r>
      <w:r w:rsidR="000C7CB0">
        <w:rPr>
          <w:rFonts w:ascii="Arial" w:hAnsi="Arial" w:cs="Arial"/>
          <w:color w:val="000000"/>
        </w:rPr>
        <w:t>archivo</w:t>
      </w:r>
      <w:r w:rsidRPr="000F7F65">
        <w:rPr>
          <w:rFonts w:ascii="Arial" w:hAnsi="Arial" w:cs="Arial"/>
          <w:color w:val="000000"/>
        </w:rPr>
        <w:t>.</w:t>
      </w:r>
    </w:p>
    <w:p w:rsidR="00DC0A38" w:rsidRDefault="00DC0A38" w:rsidP="00234788">
      <w:pPr>
        <w:ind w:left="993"/>
        <w:jc w:val="both"/>
        <w:rPr>
          <w:rFonts w:ascii="Arial" w:hAnsi="Arial" w:cs="Arial"/>
          <w:color w:val="000000"/>
        </w:rPr>
      </w:pPr>
      <w:r w:rsidRPr="000F7F65">
        <w:rPr>
          <w:rFonts w:ascii="Arial" w:hAnsi="Arial" w:cs="Arial"/>
          <w:color w:val="000000"/>
        </w:rPr>
        <w:lastRenderedPageBreak/>
        <w:t xml:space="preserve">Si el incumplimiento continua, se determinarán acciones apropiadas por el Comité  en </w:t>
      </w:r>
      <w:r w:rsidR="000C7CB0">
        <w:rPr>
          <w:rFonts w:ascii="Arial" w:hAnsi="Arial" w:cs="Arial"/>
          <w:color w:val="000000"/>
        </w:rPr>
        <w:t>una Reunión</w:t>
      </w:r>
      <w:r w:rsidRPr="000F7F65">
        <w:rPr>
          <w:rFonts w:ascii="Arial" w:hAnsi="Arial" w:cs="Arial"/>
          <w:color w:val="000000"/>
        </w:rPr>
        <w:t xml:space="preserve"> </w:t>
      </w:r>
      <w:r w:rsidR="000C7CB0">
        <w:rPr>
          <w:rFonts w:ascii="Arial" w:hAnsi="Arial" w:cs="Arial"/>
          <w:color w:val="000000"/>
        </w:rPr>
        <w:t>de la Junta Directiva</w:t>
      </w:r>
      <w:r w:rsidRPr="000F7F65">
        <w:rPr>
          <w:rFonts w:ascii="Arial" w:hAnsi="Arial" w:cs="Arial"/>
          <w:color w:val="000000"/>
        </w:rPr>
        <w:t>. Las  acciones incluyen</w:t>
      </w:r>
      <w:r w:rsidR="000C7CB0">
        <w:rPr>
          <w:rFonts w:ascii="Arial" w:hAnsi="Arial" w:cs="Arial"/>
          <w:color w:val="000000"/>
        </w:rPr>
        <w:t>,</w:t>
      </w:r>
      <w:r w:rsidRPr="000F7F65">
        <w:rPr>
          <w:rFonts w:ascii="Arial" w:hAnsi="Arial" w:cs="Arial"/>
          <w:color w:val="000000"/>
        </w:rPr>
        <w:t xml:space="preserve"> pero no se limitan a:</w:t>
      </w:r>
    </w:p>
    <w:p w:rsidR="00234788" w:rsidRPr="000F7F65" w:rsidRDefault="00234788" w:rsidP="00234788">
      <w:pPr>
        <w:ind w:left="993"/>
        <w:jc w:val="both"/>
        <w:rPr>
          <w:rFonts w:ascii="Arial" w:hAnsi="Arial" w:cs="Arial"/>
          <w:color w:val="000000"/>
        </w:rPr>
      </w:pPr>
    </w:p>
    <w:p w:rsidR="00DC0A38" w:rsidRPr="000F7F65" w:rsidRDefault="00DC0A38" w:rsidP="00234788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>Detener la investigación hasta que</w:t>
      </w:r>
      <w:r w:rsidR="000C7CB0">
        <w:rPr>
          <w:rFonts w:ascii="Arial" w:hAnsi="Arial" w:cs="Arial"/>
        </w:rPr>
        <w:t xml:space="preserve"> el investigador cumpla. Si la i</w:t>
      </w:r>
      <w:r w:rsidRPr="000F7F65">
        <w:rPr>
          <w:rFonts w:ascii="Arial" w:hAnsi="Arial" w:cs="Arial"/>
        </w:rPr>
        <w:t>nvestigació</w:t>
      </w:r>
      <w:r w:rsidR="000C7CB0">
        <w:rPr>
          <w:rFonts w:ascii="Arial" w:hAnsi="Arial" w:cs="Arial"/>
        </w:rPr>
        <w:t>n es detenida, se informará al i</w:t>
      </w:r>
      <w:r w:rsidRPr="000F7F65">
        <w:rPr>
          <w:rFonts w:ascii="Arial" w:hAnsi="Arial" w:cs="Arial"/>
        </w:rPr>
        <w:t>nvestigador, patrocinador</w:t>
      </w:r>
      <w:r w:rsidR="000C7CB0">
        <w:rPr>
          <w:rFonts w:ascii="Arial" w:hAnsi="Arial" w:cs="Arial"/>
        </w:rPr>
        <w:t>,</w:t>
      </w:r>
      <w:r w:rsidRPr="000F7F65">
        <w:rPr>
          <w:rFonts w:ascii="Arial" w:hAnsi="Arial" w:cs="Arial"/>
        </w:rPr>
        <w:t xml:space="preserve"> así como a la COFEPRIS</w:t>
      </w:r>
      <w:r w:rsidR="000C7CB0">
        <w:rPr>
          <w:rFonts w:ascii="Arial" w:hAnsi="Arial" w:cs="Arial"/>
        </w:rPr>
        <w:t>;</w:t>
      </w:r>
      <w:r w:rsidRPr="000F7F65">
        <w:rPr>
          <w:rFonts w:ascii="Arial" w:hAnsi="Arial" w:cs="Arial"/>
        </w:rPr>
        <w:t xml:space="preserve"> y </w:t>
      </w:r>
      <w:r w:rsidR="000C7CB0">
        <w:rPr>
          <w:rFonts w:ascii="Arial" w:hAnsi="Arial" w:cs="Arial"/>
        </w:rPr>
        <w:t>en caso de que la FD</w:t>
      </w:r>
      <w:r w:rsidRPr="000F7F65">
        <w:rPr>
          <w:rFonts w:ascii="Arial" w:hAnsi="Arial" w:cs="Arial"/>
        </w:rPr>
        <w:t>A</w:t>
      </w:r>
      <w:r w:rsidR="000C7CB0">
        <w:rPr>
          <w:rFonts w:ascii="Arial" w:hAnsi="Arial" w:cs="Arial"/>
        </w:rPr>
        <w:t xml:space="preserve"> esté involucrada</w:t>
      </w:r>
      <w:r w:rsidRPr="000F7F65">
        <w:rPr>
          <w:rFonts w:ascii="Arial" w:hAnsi="Arial" w:cs="Arial"/>
        </w:rPr>
        <w:t>,</w:t>
      </w:r>
      <w:r w:rsidR="000C7CB0">
        <w:rPr>
          <w:rFonts w:ascii="Arial" w:hAnsi="Arial" w:cs="Arial"/>
        </w:rPr>
        <w:t xml:space="preserve"> t</w:t>
      </w:r>
      <w:r w:rsidRPr="000F7F65">
        <w:rPr>
          <w:rFonts w:ascii="Arial" w:hAnsi="Arial" w:cs="Arial"/>
        </w:rPr>
        <w:t>ambién será notificada.</w:t>
      </w:r>
    </w:p>
    <w:p w:rsidR="00DC0A38" w:rsidRPr="000F7F65" w:rsidRDefault="00DC0A38" w:rsidP="00234788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>Requeri</w:t>
      </w:r>
      <w:r w:rsidR="000C7CB0">
        <w:rPr>
          <w:rFonts w:ascii="Arial" w:hAnsi="Arial" w:cs="Arial"/>
        </w:rPr>
        <w:t>r</w:t>
      </w:r>
      <w:r w:rsidRPr="000F7F65">
        <w:rPr>
          <w:rFonts w:ascii="Arial" w:hAnsi="Arial" w:cs="Arial"/>
        </w:rPr>
        <w:t xml:space="preserve"> que el investigador complete su programa de entrenamiento.</w:t>
      </w:r>
    </w:p>
    <w:p w:rsidR="00DC0A38" w:rsidRPr="000F7F65" w:rsidRDefault="00DC0A38" w:rsidP="00234788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>Restricción a más estudios de investigación</w:t>
      </w:r>
    </w:p>
    <w:p w:rsidR="00DC0A38" w:rsidRPr="000F7F65" w:rsidRDefault="00DC0A38" w:rsidP="00234788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 xml:space="preserve">Cualquier otra </w:t>
      </w:r>
      <w:r w:rsidR="000C7CB0">
        <w:rPr>
          <w:rFonts w:ascii="Arial" w:hAnsi="Arial" w:cs="Arial"/>
        </w:rPr>
        <w:t xml:space="preserve">acción </w:t>
      </w:r>
      <w:r w:rsidRPr="000F7F65">
        <w:rPr>
          <w:rFonts w:ascii="Arial" w:hAnsi="Arial" w:cs="Arial"/>
        </w:rPr>
        <w:t xml:space="preserve">que determine el </w:t>
      </w:r>
      <w:r w:rsidR="00B72B62">
        <w:rPr>
          <w:rFonts w:ascii="Arial" w:hAnsi="Arial" w:cs="Arial"/>
        </w:rPr>
        <w:t>CEI</w:t>
      </w:r>
      <w:r w:rsidRPr="000F7F65">
        <w:rPr>
          <w:rFonts w:ascii="Arial" w:hAnsi="Arial" w:cs="Arial"/>
        </w:rPr>
        <w:t xml:space="preserve"> </w:t>
      </w:r>
      <w:r w:rsidRPr="000F7F65">
        <w:rPr>
          <w:rFonts w:ascii="Arial" w:hAnsi="Arial" w:cs="Arial"/>
          <w:color w:val="000000"/>
        </w:rPr>
        <w:t>de acuerdo al Reglamento de Investigación de la Facultad de Medicina y Hospital Universitario.</w:t>
      </w:r>
    </w:p>
    <w:p w:rsidR="00DC0A38" w:rsidRPr="000F7F65" w:rsidRDefault="00DC0A38" w:rsidP="00234788">
      <w:pPr>
        <w:numPr>
          <w:ilvl w:val="0"/>
          <w:numId w:val="34"/>
        </w:numPr>
        <w:ind w:left="1418" w:hanging="425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>Para los casos de incumplimiento</w:t>
      </w:r>
      <w:r w:rsidR="000C7CB0">
        <w:rPr>
          <w:rFonts w:ascii="Arial" w:hAnsi="Arial" w:cs="Arial"/>
        </w:rPr>
        <w:t>,</w:t>
      </w:r>
      <w:r w:rsidRPr="000F7F65">
        <w:rPr>
          <w:rFonts w:ascii="Arial" w:hAnsi="Arial" w:cs="Arial"/>
        </w:rPr>
        <w:t xml:space="preserve"> se tomará en cuenta </w:t>
      </w:r>
      <w:r w:rsidR="000C7CB0">
        <w:rPr>
          <w:rFonts w:ascii="Arial" w:hAnsi="Arial" w:cs="Arial"/>
        </w:rPr>
        <w:t xml:space="preserve">el </w:t>
      </w:r>
      <w:r w:rsidR="000C7CB0">
        <w:rPr>
          <w:rFonts w:ascii="Arial" w:hAnsi="Arial" w:cs="Arial"/>
          <w:color w:val="000000"/>
        </w:rPr>
        <w:t>C</w:t>
      </w:r>
      <w:r w:rsidR="000C7CB0" w:rsidRPr="000F7F65">
        <w:rPr>
          <w:rFonts w:ascii="Arial" w:hAnsi="Arial" w:cs="Arial"/>
          <w:color w:val="000000"/>
        </w:rPr>
        <w:t>apítulo VII</w:t>
      </w:r>
      <w:r w:rsidR="000C7CB0">
        <w:rPr>
          <w:rFonts w:ascii="Arial" w:hAnsi="Arial" w:cs="Arial"/>
          <w:color w:val="000000"/>
        </w:rPr>
        <w:t>,</w:t>
      </w:r>
      <w:r w:rsidR="000C7CB0" w:rsidRPr="000F7F65">
        <w:rPr>
          <w:rFonts w:ascii="Arial" w:hAnsi="Arial" w:cs="Arial"/>
          <w:color w:val="000000"/>
        </w:rPr>
        <w:t xml:space="preserve"> artículos 35 y 36</w:t>
      </w:r>
      <w:r w:rsidR="000C7CB0">
        <w:rPr>
          <w:rFonts w:ascii="Arial" w:hAnsi="Arial" w:cs="Arial"/>
          <w:color w:val="000000"/>
        </w:rPr>
        <w:t xml:space="preserve">, del </w:t>
      </w:r>
      <w:r w:rsidRPr="000F7F65">
        <w:rPr>
          <w:rFonts w:ascii="Arial" w:hAnsi="Arial" w:cs="Arial"/>
          <w:color w:val="000000"/>
        </w:rPr>
        <w:t xml:space="preserve">Reglamento de Investigación de la Facultad de Medicina </w:t>
      </w:r>
      <w:r w:rsidR="000C7CB0">
        <w:rPr>
          <w:rFonts w:ascii="Arial" w:hAnsi="Arial" w:cs="Arial"/>
          <w:color w:val="000000"/>
        </w:rPr>
        <w:t>y Hospital Universitario</w:t>
      </w:r>
      <w:r w:rsidRPr="000F7F65">
        <w:rPr>
          <w:rFonts w:ascii="Arial" w:hAnsi="Arial" w:cs="Arial"/>
          <w:color w:val="000000"/>
        </w:rPr>
        <w:t>.</w:t>
      </w:r>
    </w:p>
    <w:p w:rsidR="00DC0A38" w:rsidRPr="000F7F65" w:rsidRDefault="00DC0A38" w:rsidP="00234788">
      <w:pPr>
        <w:ind w:left="993"/>
        <w:jc w:val="both"/>
        <w:rPr>
          <w:rFonts w:ascii="Arial" w:hAnsi="Arial" w:cs="Arial"/>
        </w:rPr>
      </w:pPr>
    </w:p>
    <w:p w:rsidR="00DC0A38" w:rsidRPr="000F7F65" w:rsidRDefault="00DC0A38" w:rsidP="00234788">
      <w:pPr>
        <w:ind w:left="993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 xml:space="preserve">Cuando se encuentra que una investigación no aprobada se está llevando a cabo, el </w:t>
      </w:r>
      <w:r w:rsidR="00B72B62">
        <w:rPr>
          <w:rFonts w:ascii="Arial" w:hAnsi="Arial" w:cs="Arial"/>
        </w:rPr>
        <w:t>CEI</w:t>
      </w:r>
      <w:r w:rsidRPr="000F7F65">
        <w:rPr>
          <w:rFonts w:ascii="Arial" w:hAnsi="Arial" w:cs="Arial"/>
        </w:rPr>
        <w:t xml:space="preserve"> detendrá inmediatamente la investigación, asegurando acciones correctivas.</w:t>
      </w:r>
    </w:p>
    <w:p w:rsidR="00DC0A38" w:rsidRPr="000F7F65" w:rsidRDefault="00DC0A38" w:rsidP="00234788">
      <w:pPr>
        <w:ind w:left="993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 xml:space="preserve">Los </w:t>
      </w:r>
      <w:r w:rsidR="000C7CB0">
        <w:rPr>
          <w:rFonts w:ascii="Arial" w:hAnsi="Arial" w:cs="Arial"/>
        </w:rPr>
        <w:t>violaciones seria</w:t>
      </w:r>
      <w:r w:rsidRPr="000F7F65">
        <w:rPr>
          <w:rFonts w:ascii="Arial" w:hAnsi="Arial" w:cs="Arial"/>
        </w:rPr>
        <w:t>s o repetitiv</w:t>
      </w:r>
      <w:r w:rsidR="000C7CB0">
        <w:rPr>
          <w:rFonts w:ascii="Arial" w:hAnsi="Arial" w:cs="Arial"/>
        </w:rPr>
        <w:t>a</w:t>
      </w:r>
      <w:r w:rsidRPr="000F7F65">
        <w:rPr>
          <w:rFonts w:ascii="Arial" w:hAnsi="Arial" w:cs="Arial"/>
        </w:rPr>
        <w:t xml:space="preserve">s </w:t>
      </w:r>
      <w:r w:rsidR="000C7CB0">
        <w:rPr>
          <w:rFonts w:ascii="Arial" w:hAnsi="Arial" w:cs="Arial"/>
        </w:rPr>
        <w:t>de</w:t>
      </w:r>
      <w:r w:rsidRPr="000F7F65">
        <w:rPr>
          <w:rFonts w:ascii="Arial" w:hAnsi="Arial" w:cs="Arial"/>
        </w:rPr>
        <w:t xml:space="preserve"> los derechos de protección </w:t>
      </w:r>
      <w:r w:rsidR="000C7CB0">
        <w:rPr>
          <w:rFonts w:ascii="Arial" w:hAnsi="Arial" w:cs="Arial"/>
        </w:rPr>
        <w:t>par</w:t>
      </w:r>
      <w:r w:rsidRPr="000F7F65">
        <w:rPr>
          <w:rFonts w:ascii="Arial" w:hAnsi="Arial" w:cs="Arial"/>
        </w:rPr>
        <w:t xml:space="preserve">a los sujetos de investigación, de acuerdo a lo estipulado en la Ley General de Salud en Materia de Investigación y las determinaciones del </w:t>
      </w:r>
      <w:r w:rsidR="00B72B62">
        <w:rPr>
          <w:rFonts w:ascii="Arial" w:hAnsi="Arial" w:cs="Arial"/>
        </w:rPr>
        <w:t>CEI</w:t>
      </w:r>
      <w:r w:rsidRPr="000F7F65">
        <w:rPr>
          <w:rFonts w:ascii="Arial" w:hAnsi="Arial" w:cs="Arial"/>
        </w:rPr>
        <w:t>, serán reportadas inmediatamente al investigador, al patrocinador, a los jefes de departamento</w:t>
      </w:r>
      <w:r w:rsidR="003D7129">
        <w:rPr>
          <w:rFonts w:ascii="Arial" w:hAnsi="Arial" w:cs="Arial"/>
        </w:rPr>
        <w:t>;</w:t>
      </w:r>
      <w:r w:rsidRPr="000F7F65">
        <w:rPr>
          <w:rFonts w:ascii="Arial" w:hAnsi="Arial" w:cs="Arial"/>
        </w:rPr>
        <w:t xml:space="preserve"> </w:t>
      </w:r>
      <w:r w:rsidR="003D7129">
        <w:rPr>
          <w:rFonts w:ascii="Arial" w:hAnsi="Arial" w:cs="Arial"/>
        </w:rPr>
        <w:t xml:space="preserve">y si </w:t>
      </w:r>
      <w:r w:rsidR="003D7129" w:rsidRPr="000F7F65">
        <w:rPr>
          <w:rFonts w:ascii="Arial" w:hAnsi="Arial" w:cs="Arial"/>
        </w:rPr>
        <w:t xml:space="preserve">se considera apropiado </w:t>
      </w:r>
      <w:r w:rsidR="003D7129">
        <w:rPr>
          <w:rFonts w:ascii="Arial" w:hAnsi="Arial" w:cs="Arial"/>
        </w:rPr>
        <w:t xml:space="preserve">a la </w:t>
      </w:r>
      <w:r w:rsidR="003D7129" w:rsidRPr="000F7F65">
        <w:rPr>
          <w:rFonts w:ascii="Arial" w:hAnsi="Arial" w:cs="Arial"/>
        </w:rPr>
        <w:t xml:space="preserve">FDA o </w:t>
      </w:r>
      <w:r w:rsidR="00EB73B5">
        <w:rPr>
          <w:rFonts w:ascii="Arial" w:hAnsi="Arial" w:cs="Arial"/>
        </w:rPr>
        <w:t xml:space="preserve">la </w:t>
      </w:r>
      <w:r w:rsidRPr="000F7F65">
        <w:rPr>
          <w:rFonts w:ascii="Arial" w:hAnsi="Arial" w:cs="Arial"/>
        </w:rPr>
        <w:t>COFEPRIS.</w:t>
      </w:r>
    </w:p>
    <w:p w:rsidR="00DC0A38" w:rsidRPr="000F7F65" w:rsidRDefault="00DC0A38" w:rsidP="00234788">
      <w:pPr>
        <w:ind w:left="993"/>
        <w:jc w:val="both"/>
        <w:rPr>
          <w:rFonts w:ascii="Arial" w:hAnsi="Arial" w:cs="Arial"/>
        </w:rPr>
      </w:pPr>
    </w:p>
    <w:p w:rsidR="00DC0A38" w:rsidRPr="000F7F65" w:rsidRDefault="00DC0A38" w:rsidP="00234788">
      <w:pPr>
        <w:ind w:left="993"/>
        <w:jc w:val="both"/>
        <w:rPr>
          <w:rFonts w:ascii="Arial" w:hAnsi="Arial" w:cs="Arial"/>
        </w:rPr>
      </w:pPr>
      <w:r w:rsidRPr="000F7F65">
        <w:rPr>
          <w:rFonts w:ascii="Arial" w:hAnsi="Arial" w:cs="Arial"/>
        </w:rPr>
        <w:t xml:space="preserve">La responsabilidad del Comité  es la de proteger los derechos humanos de los sujetos, los cuales pueden ser puestos en riesgo por </w:t>
      </w:r>
      <w:r w:rsidR="003D7129">
        <w:rPr>
          <w:rFonts w:ascii="Arial" w:hAnsi="Arial" w:cs="Arial"/>
        </w:rPr>
        <w:t>la</w:t>
      </w:r>
      <w:r w:rsidRPr="000F7F65">
        <w:rPr>
          <w:rFonts w:ascii="Arial" w:hAnsi="Arial" w:cs="Arial"/>
        </w:rPr>
        <w:t xml:space="preserve"> conducta </w:t>
      </w:r>
      <w:r w:rsidR="003D7129">
        <w:rPr>
          <w:rFonts w:ascii="Arial" w:hAnsi="Arial" w:cs="Arial"/>
        </w:rPr>
        <w:t>inapropiada del i</w:t>
      </w:r>
      <w:r w:rsidRPr="000F7F65">
        <w:rPr>
          <w:rFonts w:ascii="Arial" w:hAnsi="Arial" w:cs="Arial"/>
        </w:rPr>
        <w:t xml:space="preserve">nvestigador o </w:t>
      </w:r>
      <w:r w:rsidR="003D7129">
        <w:rPr>
          <w:rFonts w:ascii="Arial" w:hAnsi="Arial" w:cs="Arial"/>
        </w:rPr>
        <w:t xml:space="preserve">de </w:t>
      </w:r>
      <w:r w:rsidRPr="000F7F65">
        <w:rPr>
          <w:rFonts w:ascii="Arial" w:hAnsi="Arial" w:cs="Arial"/>
        </w:rPr>
        <w:t>cualquier miembro del equipo de investigación.</w:t>
      </w:r>
    </w:p>
    <w:p w:rsidR="0098277D" w:rsidRPr="000F7F65" w:rsidRDefault="0098277D" w:rsidP="0098277D">
      <w:pPr>
        <w:jc w:val="both"/>
        <w:rPr>
          <w:rFonts w:ascii="Arial" w:hAnsi="Arial" w:cs="Arial"/>
        </w:rPr>
      </w:pPr>
    </w:p>
    <w:p w:rsidR="00E67A9D" w:rsidRPr="000F7F65" w:rsidRDefault="00E67A9D" w:rsidP="00DB53D2">
      <w:pPr>
        <w:jc w:val="both"/>
        <w:rPr>
          <w:rFonts w:ascii="Arial" w:hAnsi="Arial" w:cs="Arial"/>
          <w:b/>
        </w:rPr>
      </w:pPr>
    </w:p>
    <w:p w:rsidR="00803517" w:rsidRPr="000F7F65" w:rsidRDefault="00803517" w:rsidP="00DB53D2">
      <w:pPr>
        <w:jc w:val="both"/>
        <w:rPr>
          <w:rFonts w:ascii="Arial" w:hAnsi="Arial" w:cs="Arial"/>
          <w:b/>
        </w:rPr>
      </w:pPr>
      <w:r w:rsidRPr="000F7F65">
        <w:rPr>
          <w:rFonts w:ascii="Arial" w:hAnsi="Arial" w:cs="Arial"/>
          <w:b/>
        </w:rPr>
        <w:t>IV. RESPONSABILIDADES</w:t>
      </w:r>
    </w:p>
    <w:p w:rsidR="001B213D" w:rsidRPr="000F7F65" w:rsidRDefault="001B213D" w:rsidP="00DB53D2">
      <w:pPr>
        <w:jc w:val="both"/>
        <w:rPr>
          <w:rFonts w:ascii="Arial" w:hAnsi="Arial" w:cs="Arial"/>
          <w:b/>
        </w:rPr>
      </w:pPr>
    </w:p>
    <w:p w:rsidR="00DC0A38" w:rsidRPr="000F7F65" w:rsidRDefault="00DC0A38" w:rsidP="00DC0A38">
      <w:pPr>
        <w:pStyle w:val="level1bodystyle"/>
        <w:jc w:val="both"/>
        <w:rPr>
          <w:snapToGrid w:val="0"/>
          <w:color w:val="000000"/>
          <w:szCs w:val="24"/>
          <w:lang w:val="es-ES"/>
        </w:rPr>
      </w:pPr>
      <w:r w:rsidRPr="000F7F65">
        <w:rPr>
          <w:snapToGrid w:val="0"/>
          <w:color w:val="000000"/>
          <w:szCs w:val="24"/>
          <w:lang w:val="es-ES"/>
        </w:rPr>
        <w:t xml:space="preserve">El Presidente del Comité es responsable de todas las comunicaciones del </w:t>
      </w:r>
      <w:r w:rsidR="00B72B62">
        <w:rPr>
          <w:snapToGrid w:val="0"/>
          <w:color w:val="000000"/>
          <w:szCs w:val="24"/>
          <w:lang w:val="es-ES"/>
        </w:rPr>
        <w:t>CEI</w:t>
      </w:r>
      <w:r w:rsidRPr="000F7F65">
        <w:rPr>
          <w:snapToGrid w:val="0"/>
          <w:color w:val="000000"/>
          <w:szCs w:val="24"/>
          <w:lang w:val="es-ES"/>
        </w:rPr>
        <w:t xml:space="preserve"> y de Investigación.</w:t>
      </w:r>
    </w:p>
    <w:p w:rsidR="00DC0A38" w:rsidRPr="000F7F65" w:rsidRDefault="00DC0A38" w:rsidP="00DC0A38">
      <w:pPr>
        <w:pStyle w:val="level1bodystyle"/>
        <w:jc w:val="both"/>
        <w:rPr>
          <w:snapToGrid w:val="0"/>
          <w:color w:val="000000"/>
          <w:szCs w:val="24"/>
          <w:lang w:val="es-ES"/>
        </w:rPr>
      </w:pPr>
      <w:r w:rsidRPr="000F7F65">
        <w:rPr>
          <w:snapToGrid w:val="0"/>
          <w:color w:val="000000"/>
          <w:szCs w:val="24"/>
          <w:lang w:val="es-ES"/>
        </w:rPr>
        <w:t>La Secretaria Asistente será la responsable de generar todas las comunicaciones de respuesta</w:t>
      </w:r>
      <w:r w:rsidR="003D7129">
        <w:rPr>
          <w:snapToGrid w:val="0"/>
          <w:color w:val="000000"/>
          <w:szCs w:val="24"/>
          <w:lang w:val="es-ES"/>
        </w:rPr>
        <w:t>,</w:t>
      </w:r>
      <w:r w:rsidRPr="000F7F65">
        <w:rPr>
          <w:snapToGrid w:val="0"/>
          <w:color w:val="000000"/>
          <w:szCs w:val="24"/>
          <w:lang w:val="es-ES"/>
        </w:rPr>
        <w:t xml:space="preserve"> de acuerdo a lo aco</w:t>
      </w:r>
      <w:r w:rsidR="00EB73B5">
        <w:rPr>
          <w:snapToGrid w:val="0"/>
          <w:color w:val="000000"/>
          <w:szCs w:val="24"/>
          <w:lang w:val="es-ES"/>
        </w:rPr>
        <w:t>rdado</w:t>
      </w:r>
      <w:r w:rsidRPr="000F7F65">
        <w:rPr>
          <w:snapToGrid w:val="0"/>
          <w:color w:val="000000"/>
          <w:szCs w:val="24"/>
          <w:lang w:val="es-ES"/>
        </w:rPr>
        <w:t xml:space="preserve"> en las </w:t>
      </w:r>
      <w:r w:rsidR="003D7129">
        <w:rPr>
          <w:snapToGrid w:val="0"/>
          <w:color w:val="000000"/>
          <w:szCs w:val="24"/>
          <w:lang w:val="es-ES"/>
        </w:rPr>
        <w:t xml:space="preserve">reuniones </w:t>
      </w:r>
      <w:r w:rsidRPr="000F7F65">
        <w:rPr>
          <w:snapToGrid w:val="0"/>
          <w:color w:val="000000"/>
          <w:szCs w:val="24"/>
          <w:lang w:val="es-ES"/>
        </w:rPr>
        <w:t xml:space="preserve">del </w:t>
      </w:r>
      <w:r w:rsidRPr="000F7F65">
        <w:rPr>
          <w:snapToGrid w:val="0"/>
          <w:color w:val="000000"/>
          <w:szCs w:val="24"/>
          <w:lang w:val="es-ES"/>
        </w:rPr>
        <w:lastRenderedPageBreak/>
        <w:t>Comité, así mismo</w:t>
      </w:r>
      <w:r w:rsidR="003D7129">
        <w:rPr>
          <w:snapToGrid w:val="0"/>
          <w:color w:val="000000"/>
          <w:szCs w:val="24"/>
          <w:lang w:val="es-ES"/>
        </w:rPr>
        <w:t>,</w:t>
      </w:r>
      <w:r w:rsidRPr="000F7F65">
        <w:rPr>
          <w:snapToGrid w:val="0"/>
          <w:color w:val="000000"/>
          <w:szCs w:val="24"/>
          <w:lang w:val="es-ES"/>
        </w:rPr>
        <w:t xml:space="preserve"> será la responsable de distribuir la correspondencia a las partes involucradas.</w:t>
      </w:r>
    </w:p>
    <w:p w:rsidR="001B213D" w:rsidRPr="000F7F65" w:rsidRDefault="001B213D" w:rsidP="00DB53D2">
      <w:pPr>
        <w:jc w:val="both"/>
        <w:rPr>
          <w:rFonts w:ascii="Arial" w:hAnsi="Arial" w:cs="Arial"/>
          <w:b/>
        </w:rPr>
      </w:pPr>
      <w:r w:rsidRPr="000F7F65">
        <w:rPr>
          <w:rFonts w:ascii="Arial" w:hAnsi="Arial" w:cs="Arial"/>
          <w:b/>
        </w:rPr>
        <w:t>V. ALCANCE</w:t>
      </w:r>
    </w:p>
    <w:p w:rsidR="00CC79A3" w:rsidRPr="000F7F65" w:rsidRDefault="00CC79A3" w:rsidP="00DB53D2">
      <w:pPr>
        <w:jc w:val="both"/>
        <w:rPr>
          <w:rFonts w:ascii="Arial" w:hAnsi="Arial" w:cs="Arial"/>
          <w:b/>
        </w:rPr>
      </w:pPr>
    </w:p>
    <w:p w:rsidR="00DC0A38" w:rsidRPr="000F7F65" w:rsidRDefault="00DC0A38" w:rsidP="00DC0A38">
      <w:pPr>
        <w:pStyle w:val="level1bodystyle"/>
        <w:jc w:val="both"/>
        <w:rPr>
          <w:color w:val="000000"/>
          <w:szCs w:val="24"/>
          <w:lang w:val="es-ES"/>
        </w:rPr>
      </w:pPr>
      <w:r w:rsidRPr="000F7F65">
        <w:rPr>
          <w:color w:val="000000"/>
          <w:szCs w:val="24"/>
          <w:lang w:val="es-ES"/>
        </w:rPr>
        <w:t>Estas políticas y procedimientos se aplican a todas las investigaciones que se planean realizar en Facultad de Medicina y Hospital Universitario de la UANL.</w:t>
      </w:r>
    </w:p>
    <w:p w:rsidR="0098277D" w:rsidRPr="000F7F65" w:rsidRDefault="0098277D" w:rsidP="0098277D">
      <w:pPr>
        <w:pStyle w:val="level1bodystyle"/>
        <w:jc w:val="both"/>
        <w:rPr>
          <w:szCs w:val="24"/>
          <w:lang w:val="es-ES"/>
        </w:rPr>
      </w:pPr>
    </w:p>
    <w:p w:rsidR="00803517" w:rsidRPr="000F7F65" w:rsidRDefault="00803517" w:rsidP="00DB53D2">
      <w:pPr>
        <w:jc w:val="both"/>
        <w:rPr>
          <w:rFonts w:ascii="Arial" w:hAnsi="Arial" w:cs="Arial"/>
          <w:b/>
        </w:rPr>
      </w:pPr>
      <w:r w:rsidRPr="000F7F65">
        <w:rPr>
          <w:rFonts w:ascii="Arial" w:hAnsi="Arial" w:cs="Arial"/>
          <w:b/>
        </w:rPr>
        <w:t>V. PROCEDIMIENTO</w:t>
      </w:r>
    </w:p>
    <w:p w:rsidR="007A41ED" w:rsidRPr="000F7F65" w:rsidRDefault="007A41ED" w:rsidP="00B50A9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DC0A38" w:rsidRPr="00234788" w:rsidRDefault="00DC0A38" w:rsidP="00234788">
      <w:pPr>
        <w:pStyle w:val="level1bodystyle"/>
        <w:jc w:val="both"/>
        <w:rPr>
          <w:color w:val="000000"/>
          <w:szCs w:val="24"/>
          <w:lang w:val="es-ES"/>
        </w:rPr>
      </w:pPr>
      <w:r w:rsidRPr="00234788">
        <w:rPr>
          <w:color w:val="000000"/>
          <w:szCs w:val="24"/>
          <w:lang w:val="es-ES"/>
        </w:rPr>
        <w:t xml:space="preserve">Este SOP describe los procedimientos del </w:t>
      </w:r>
      <w:r w:rsidR="00B72B62">
        <w:rPr>
          <w:color w:val="000000"/>
          <w:szCs w:val="24"/>
          <w:lang w:val="es-ES"/>
        </w:rPr>
        <w:t>CEI</w:t>
      </w:r>
      <w:r w:rsidRPr="00234788">
        <w:rPr>
          <w:color w:val="000000"/>
          <w:szCs w:val="24"/>
          <w:lang w:val="es-ES"/>
        </w:rPr>
        <w:t xml:space="preserve"> con respecto a las comunicaciones con el investigador. Asegura una </w:t>
      </w:r>
      <w:r w:rsidR="003D7129" w:rsidRPr="00234788">
        <w:rPr>
          <w:color w:val="000000"/>
          <w:szCs w:val="24"/>
          <w:lang w:val="es-ES"/>
        </w:rPr>
        <w:t xml:space="preserve">comunicación </w:t>
      </w:r>
      <w:r w:rsidRPr="00234788">
        <w:rPr>
          <w:color w:val="000000"/>
          <w:szCs w:val="24"/>
          <w:lang w:val="es-ES"/>
        </w:rPr>
        <w:t xml:space="preserve">pronta y consistente entre el </w:t>
      </w:r>
      <w:r w:rsidR="00B72B62">
        <w:rPr>
          <w:color w:val="000000"/>
          <w:szCs w:val="24"/>
          <w:lang w:val="es-ES"/>
        </w:rPr>
        <w:t>CEI</w:t>
      </w:r>
      <w:r w:rsidRPr="00234788">
        <w:rPr>
          <w:color w:val="000000"/>
          <w:szCs w:val="24"/>
          <w:lang w:val="es-ES"/>
        </w:rPr>
        <w:t xml:space="preserve"> y el investigador, a</w:t>
      </w:r>
      <w:r w:rsidR="003D7129">
        <w:rPr>
          <w:color w:val="000000"/>
          <w:szCs w:val="24"/>
          <w:lang w:val="es-ES"/>
        </w:rPr>
        <w:t xml:space="preserve">sí como con </w:t>
      </w:r>
      <w:r w:rsidRPr="00234788">
        <w:rPr>
          <w:color w:val="000000"/>
          <w:szCs w:val="24"/>
          <w:lang w:val="es-ES"/>
        </w:rPr>
        <w:t>las autoridades institucionales correspondientes.</w:t>
      </w:r>
    </w:p>
    <w:p w:rsidR="0098277D" w:rsidRPr="000F7F65" w:rsidRDefault="0098277D" w:rsidP="00DB53D2">
      <w:pPr>
        <w:jc w:val="both"/>
        <w:rPr>
          <w:rFonts w:ascii="Arial" w:hAnsi="Arial" w:cs="Arial"/>
          <w:b/>
        </w:rPr>
      </w:pPr>
    </w:p>
    <w:tbl>
      <w:tblPr>
        <w:tblW w:w="87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3846"/>
        <w:gridCol w:w="2700"/>
      </w:tblGrid>
      <w:tr w:rsidR="00DC0A38" w:rsidRPr="000F7F65" w:rsidTr="00234788">
        <w:trPr>
          <w:cantSplit/>
        </w:trPr>
        <w:tc>
          <w:tcPr>
            <w:tcW w:w="2250" w:type="dxa"/>
            <w:shd w:val="pct10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b/>
                <w:color w:val="000000"/>
                <w:szCs w:val="24"/>
                <w:lang w:val="es-ES"/>
              </w:rPr>
              <w:t>Quién</w:t>
            </w:r>
          </w:p>
        </w:tc>
        <w:tc>
          <w:tcPr>
            <w:tcW w:w="3846" w:type="dxa"/>
            <w:shd w:val="pct10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b/>
                <w:color w:val="000000"/>
                <w:szCs w:val="24"/>
                <w:lang w:val="es-ES"/>
              </w:rPr>
              <w:t>Tarea</w:t>
            </w:r>
          </w:p>
        </w:tc>
        <w:tc>
          <w:tcPr>
            <w:tcW w:w="2700" w:type="dxa"/>
            <w:shd w:val="pct10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b/>
                <w:color w:val="000000"/>
                <w:szCs w:val="24"/>
                <w:lang w:val="es-ES"/>
              </w:rPr>
              <w:t>Herramienta</w:t>
            </w:r>
          </w:p>
        </w:tc>
      </w:tr>
      <w:tr w:rsidR="00DC0A38" w:rsidRPr="000F7F65" w:rsidTr="00234788">
        <w:trPr>
          <w:cantSplit/>
        </w:trPr>
        <w:tc>
          <w:tcPr>
            <w:tcW w:w="225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 xml:space="preserve">Presidente del Comité </w:t>
            </w:r>
          </w:p>
        </w:tc>
        <w:tc>
          <w:tcPr>
            <w:tcW w:w="3846" w:type="dxa"/>
            <w:shd w:val="pct5" w:color="000000" w:fill="FFFFFF"/>
          </w:tcPr>
          <w:p w:rsidR="00DC0A38" w:rsidRPr="000F7F65" w:rsidRDefault="00DC0A38" w:rsidP="003D7129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 xml:space="preserve">Asegurar que todas las comunicaciones con el </w:t>
            </w:r>
            <w:r w:rsidR="003D7129">
              <w:rPr>
                <w:color w:val="000000"/>
                <w:szCs w:val="24"/>
                <w:lang w:val="es-ES"/>
              </w:rPr>
              <w:t>i</w:t>
            </w:r>
            <w:r w:rsidRPr="000F7F65">
              <w:rPr>
                <w:color w:val="000000"/>
                <w:szCs w:val="24"/>
                <w:lang w:val="es-ES"/>
              </w:rPr>
              <w:t>nvestigador se lleven de acuerdo a lo estipulado</w:t>
            </w:r>
          </w:p>
        </w:tc>
        <w:tc>
          <w:tcPr>
            <w:tcW w:w="270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</w:p>
        </w:tc>
      </w:tr>
      <w:tr w:rsidR="00DC0A38" w:rsidRPr="000F7F65" w:rsidTr="00234788">
        <w:trPr>
          <w:cantSplit/>
        </w:trPr>
        <w:tc>
          <w:tcPr>
            <w:tcW w:w="225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>Asistente Administrativo</w:t>
            </w:r>
          </w:p>
        </w:tc>
        <w:tc>
          <w:tcPr>
            <w:tcW w:w="3846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>Asegura</w:t>
            </w:r>
            <w:r w:rsidR="009A4F52">
              <w:rPr>
                <w:color w:val="000000"/>
                <w:szCs w:val="24"/>
                <w:lang w:val="es-ES"/>
              </w:rPr>
              <w:t>r</w:t>
            </w:r>
            <w:r w:rsidRPr="000F7F65">
              <w:rPr>
                <w:color w:val="000000"/>
                <w:szCs w:val="24"/>
                <w:lang w:val="es-ES"/>
              </w:rPr>
              <w:t xml:space="preserve"> que las comunicaciones con el investigador se lleven de una manera oportuna y rápida</w:t>
            </w:r>
          </w:p>
        </w:tc>
        <w:tc>
          <w:tcPr>
            <w:tcW w:w="270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 xml:space="preserve">Ver anexos </w:t>
            </w:r>
            <w:r w:rsidRPr="000F7F65">
              <w:rPr>
                <w:bCs w:val="0"/>
                <w:color w:val="000000"/>
                <w:szCs w:val="24"/>
                <w:lang w:val="es-ES"/>
              </w:rPr>
              <w:t xml:space="preserve">CO 601-A </w:t>
            </w:r>
            <w:proofErr w:type="spellStart"/>
            <w:r w:rsidRPr="000F7F65">
              <w:rPr>
                <w:bCs w:val="0"/>
                <w:color w:val="000000"/>
                <w:szCs w:val="24"/>
                <w:lang w:val="es-ES"/>
              </w:rPr>
              <w:t>al</w:t>
            </w:r>
            <w:proofErr w:type="spellEnd"/>
            <w:r w:rsidRPr="000F7F65">
              <w:rPr>
                <w:bCs w:val="0"/>
                <w:color w:val="000000"/>
                <w:szCs w:val="24"/>
                <w:lang w:val="es-ES"/>
              </w:rPr>
              <w:t xml:space="preserve"> CO 601-P</w:t>
            </w:r>
          </w:p>
        </w:tc>
      </w:tr>
      <w:tr w:rsidR="00DC0A38" w:rsidRPr="000F7F65" w:rsidTr="00234788">
        <w:trPr>
          <w:cantSplit/>
        </w:trPr>
        <w:tc>
          <w:tcPr>
            <w:tcW w:w="225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 xml:space="preserve">Presidente del Comité </w:t>
            </w:r>
          </w:p>
        </w:tc>
        <w:tc>
          <w:tcPr>
            <w:tcW w:w="3846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>Revisa</w:t>
            </w:r>
            <w:r w:rsidR="003D7129">
              <w:rPr>
                <w:color w:val="000000"/>
                <w:szCs w:val="24"/>
                <w:lang w:val="es-ES"/>
              </w:rPr>
              <w:t>r</w:t>
            </w:r>
            <w:r w:rsidRPr="000F7F65">
              <w:rPr>
                <w:color w:val="000000"/>
                <w:szCs w:val="24"/>
                <w:lang w:val="es-ES"/>
              </w:rPr>
              <w:t xml:space="preserve"> y firma</w:t>
            </w:r>
            <w:r w:rsidR="003D7129">
              <w:rPr>
                <w:color w:val="000000"/>
                <w:szCs w:val="24"/>
                <w:lang w:val="es-ES"/>
              </w:rPr>
              <w:t>r</w:t>
            </w:r>
            <w:r w:rsidRPr="000F7F65">
              <w:rPr>
                <w:color w:val="000000"/>
                <w:szCs w:val="24"/>
                <w:lang w:val="es-ES"/>
              </w:rPr>
              <w:t xml:space="preserve"> las decisiones del Comité </w:t>
            </w:r>
          </w:p>
        </w:tc>
        <w:tc>
          <w:tcPr>
            <w:tcW w:w="270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 xml:space="preserve">Ver anexos </w:t>
            </w:r>
            <w:r w:rsidRPr="000F7F65">
              <w:rPr>
                <w:bCs w:val="0"/>
                <w:color w:val="000000"/>
                <w:szCs w:val="24"/>
                <w:lang w:val="es-ES"/>
              </w:rPr>
              <w:t xml:space="preserve">CO 601-A </w:t>
            </w:r>
            <w:proofErr w:type="spellStart"/>
            <w:r w:rsidRPr="000F7F65">
              <w:rPr>
                <w:bCs w:val="0"/>
                <w:color w:val="000000"/>
                <w:szCs w:val="24"/>
                <w:lang w:val="es-ES"/>
              </w:rPr>
              <w:t>al</w:t>
            </w:r>
            <w:proofErr w:type="spellEnd"/>
            <w:r w:rsidRPr="000F7F65">
              <w:rPr>
                <w:bCs w:val="0"/>
                <w:color w:val="000000"/>
                <w:szCs w:val="24"/>
                <w:lang w:val="es-ES"/>
              </w:rPr>
              <w:t xml:space="preserve"> CO 601-P</w:t>
            </w:r>
          </w:p>
        </w:tc>
      </w:tr>
      <w:tr w:rsidR="00DC0A38" w:rsidRPr="000F7F65" w:rsidTr="00234788">
        <w:trPr>
          <w:cantSplit/>
        </w:trPr>
        <w:tc>
          <w:tcPr>
            <w:tcW w:w="225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lastRenderedPageBreak/>
              <w:t>Secretaria Asistente</w:t>
            </w:r>
          </w:p>
        </w:tc>
        <w:tc>
          <w:tcPr>
            <w:tcW w:w="3846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>Asegura</w:t>
            </w:r>
            <w:r w:rsidR="003D7129">
              <w:rPr>
                <w:color w:val="000000"/>
                <w:szCs w:val="24"/>
                <w:lang w:val="es-ES"/>
              </w:rPr>
              <w:t>r</w:t>
            </w:r>
            <w:r w:rsidRPr="000F7F65">
              <w:rPr>
                <w:color w:val="000000"/>
                <w:szCs w:val="24"/>
                <w:lang w:val="es-ES"/>
              </w:rPr>
              <w:t xml:space="preserve"> una comunicación </w:t>
            </w:r>
            <w:r w:rsidR="003D7129" w:rsidRPr="000F7F65">
              <w:rPr>
                <w:color w:val="000000"/>
                <w:szCs w:val="24"/>
                <w:lang w:val="es-ES"/>
              </w:rPr>
              <w:t xml:space="preserve">apropiada </w:t>
            </w:r>
            <w:r w:rsidRPr="000F7F65">
              <w:rPr>
                <w:color w:val="000000"/>
                <w:szCs w:val="24"/>
                <w:lang w:val="es-ES"/>
              </w:rPr>
              <w:t xml:space="preserve">entre </w:t>
            </w:r>
            <w:r w:rsidR="003D7129">
              <w:rPr>
                <w:color w:val="000000"/>
                <w:szCs w:val="24"/>
                <w:lang w:val="es-ES"/>
              </w:rPr>
              <w:t>e</w:t>
            </w:r>
            <w:r w:rsidR="00FC1163">
              <w:rPr>
                <w:color w:val="000000"/>
                <w:szCs w:val="24"/>
                <w:lang w:val="es-ES"/>
              </w:rPr>
              <w:t>l</w:t>
            </w:r>
            <w:r w:rsidR="003D7129">
              <w:rPr>
                <w:color w:val="000000"/>
                <w:szCs w:val="24"/>
                <w:lang w:val="es-ES"/>
              </w:rPr>
              <w:t xml:space="preserve"> </w:t>
            </w:r>
            <w:r w:rsidRPr="000F7F65">
              <w:rPr>
                <w:color w:val="000000"/>
                <w:szCs w:val="24"/>
                <w:lang w:val="es-ES"/>
              </w:rPr>
              <w:t xml:space="preserve">investigador, </w:t>
            </w:r>
            <w:r w:rsidR="003D7129">
              <w:rPr>
                <w:color w:val="000000"/>
                <w:szCs w:val="24"/>
                <w:lang w:val="es-ES"/>
              </w:rPr>
              <w:t xml:space="preserve">la </w:t>
            </w:r>
            <w:r w:rsidRPr="000F7F65">
              <w:rPr>
                <w:color w:val="000000"/>
                <w:szCs w:val="24"/>
                <w:lang w:val="es-ES"/>
              </w:rPr>
              <w:t xml:space="preserve">CRO y </w:t>
            </w:r>
            <w:r w:rsidR="003D7129">
              <w:rPr>
                <w:color w:val="000000"/>
                <w:szCs w:val="24"/>
                <w:lang w:val="es-ES"/>
              </w:rPr>
              <w:t>el pa</w:t>
            </w:r>
            <w:r w:rsidRPr="000F7F65">
              <w:rPr>
                <w:color w:val="000000"/>
                <w:szCs w:val="24"/>
                <w:lang w:val="es-ES"/>
              </w:rPr>
              <w:t>trocinador. Asegura</w:t>
            </w:r>
            <w:r w:rsidR="003D7129">
              <w:rPr>
                <w:color w:val="000000"/>
                <w:szCs w:val="24"/>
                <w:lang w:val="es-ES"/>
              </w:rPr>
              <w:t>r</w:t>
            </w:r>
            <w:r w:rsidRPr="000F7F65">
              <w:rPr>
                <w:color w:val="000000"/>
                <w:szCs w:val="24"/>
                <w:lang w:val="es-ES"/>
              </w:rPr>
              <w:t xml:space="preserve"> que toda la documentación tanto electrónica o escrita</w:t>
            </w:r>
            <w:r w:rsidR="004A57B4">
              <w:rPr>
                <w:color w:val="000000"/>
                <w:szCs w:val="24"/>
                <w:lang w:val="es-ES"/>
              </w:rPr>
              <w:t>,</w:t>
            </w:r>
            <w:r w:rsidRPr="000F7F65">
              <w:rPr>
                <w:color w:val="000000"/>
                <w:szCs w:val="24"/>
                <w:lang w:val="es-ES"/>
              </w:rPr>
              <w:t xml:space="preserve"> de cualquier determinación o requerimiento del </w:t>
            </w:r>
            <w:r w:rsidR="00B72B62">
              <w:rPr>
                <w:color w:val="000000"/>
                <w:szCs w:val="24"/>
                <w:lang w:val="es-ES"/>
              </w:rPr>
              <w:t>CEI</w:t>
            </w:r>
            <w:r w:rsidR="00EB73B5">
              <w:rPr>
                <w:color w:val="000000"/>
                <w:szCs w:val="24"/>
                <w:lang w:val="es-ES"/>
              </w:rPr>
              <w:t>,</w:t>
            </w:r>
            <w:r w:rsidRPr="000F7F65">
              <w:rPr>
                <w:color w:val="000000"/>
                <w:szCs w:val="24"/>
                <w:lang w:val="es-ES"/>
              </w:rPr>
              <w:t xml:space="preserve"> se lleve a cabo de acuerdo a l</w:t>
            </w:r>
            <w:r w:rsidR="00FC1163">
              <w:rPr>
                <w:color w:val="000000"/>
                <w:szCs w:val="24"/>
                <w:lang w:val="es-ES"/>
              </w:rPr>
              <w:t>o</w:t>
            </w:r>
            <w:r w:rsidRPr="000F7F65">
              <w:rPr>
                <w:color w:val="000000"/>
                <w:szCs w:val="24"/>
                <w:lang w:val="es-ES"/>
              </w:rPr>
              <w:t xml:space="preserve">s </w:t>
            </w:r>
            <w:r w:rsidR="00FC1163">
              <w:rPr>
                <w:color w:val="000000"/>
                <w:szCs w:val="24"/>
                <w:lang w:val="es-ES"/>
              </w:rPr>
              <w:t>lineamientos del SOP</w:t>
            </w:r>
            <w:r w:rsidRPr="000F7F65">
              <w:rPr>
                <w:color w:val="000000"/>
                <w:szCs w:val="24"/>
                <w:lang w:val="es-ES"/>
              </w:rPr>
              <w:t xml:space="preserve"> FO</w:t>
            </w:r>
            <w:r w:rsidR="00FC1163">
              <w:rPr>
                <w:color w:val="000000"/>
                <w:szCs w:val="24"/>
                <w:lang w:val="es-ES"/>
              </w:rPr>
              <w:t xml:space="preserve"> </w:t>
            </w:r>
            <w:r w:rsidRPr="000F7F65">
              <w:rPr>
                <w:color w:val="000000"/>
                <w:szCs w:val="24"/>
                <w:lang w:val="es-ES"/>
              </w:rPr>
              <w:t>305.</w:t>
            </w:r>
          </w:p>
          <w:p w:rsidR="00DC0A38" w:rsidRPr="000F7F65" w:rsidRDefault="00FC1163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color w:val="000000"/>
                <w:szCs w:val="24"/>
                <w:lang w:val="es-ES"/>
              </w:rPr>
              <w:t>A</w:t>
            </w:r>
            <w:r w:rsidR="00DC0A38" w:rsidRPr="000F7F65">
              <w:rPr>
                <w:color w:val="000000"/>
                <w:szCs w:val="24"/>
                <w:lang w:val="es-ES"/>
              </w:rPr>
              <w:t>segura</w:t>
            </w:r>
            <w:r>
              <w:rPr>
                <w:color w:val="000000"/>
                <w:szCs w:val="24"/>
                <w:lang w:val="es-ES"/>
              </w:rPr>
              <w:t>r</w:t>
            </w:r>
            <w:r w:rsidR="00DC0A38" w:rsidRPr="000F7F65">
              <w:rPr>
                <w:color w:val="000000"/>
                <w:szCs w:val="24"/>
                <w:lang w:val="es-ES"/>
              </w:rPr>
              <w:t xml:space="preserve"> que la documentación verbal se documente y se mantenga en el </w:t>
            </w:r>
            <w:r>
              <w:rPr>
                <w:color w:val="000000"/>
                <w:szCs w:val="24"/>
                <w:lang w:val="es-ES"/>
              </w:rPr>
              <w:t>e</w:t>
            </w:r>
            <w:r w:rsidR="00DC0A38" w:rsidRPr="000F7F65">
              <w:rPr>
                <w:color w:val="000000"/>
                <w:szCs w:val="24"/>
                <w:lang w:val="es-ES"/>
              </w:rPr>
              <w:t xml:space="preserve">xpediente del estudio de acuerdo a </w:t>
            </w:r>
            <w:r>
              <w:rPr>
                <w:color w:val="000000"/>
                <w:szCs w:val="24"/>
                <w:lang w:val="es-ES"/>
              </w:rPr>
              <w:t>los lineamientos del SOP</w:t>
            </w:r>
            <w:r w:rsidR="00DC0A38" w:rsidRPr="000F7F65">
              <w:rPr>
                <w:color w:val="000000"/>
                <w:szCs w:val="24"/>
                <w:lang w:val="es-ES"/>
              </w:rPr>
              <w:t xml:space="preserve"> FO</w:t>
            </w:r>
            <w:r>
              <w:rPr>
                <w:color w:val="000000"/>
                <w:szCs w:val="24"/>
                <w:lang w:val="es-ES"/>
              </w:rPr>
              <w:t xml:space="preserve"> </w:t>
            </w:r>
            <w:r w:rsidR="00DC0A38" w:rsidRPr="000F7F65">
              <w:rPr>
                <w:color w:val="000000"/>
                <w:szCs w:val="24"/>
                <w:lang w:val="es-ES"/>
              </w:rPr>
              <w:t>305.</w:t>
            </w:r>
          </w:p>
          <w:p w:rsidR="00DC0A38" w:rsidRPr="000F7F65" w:rsidRDefault="00FC1163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>
              <w:rPr>
                <w:color w:val="000000"/>
                <w:szCs w:val="24"/>
                <w:lang w:val="es-ES"/>
              </w:rPr>
              <w:t>A</w:t>
            </w:r>
            <w:r w:rsidR="00DC0A38" w:rsidRPr="000F7F65">
              <w:rPr>
                <w:color w:val="000000"/>
                <w:szCs w:val="24"/>
                <w:lang w:val="es-ES"/>
              </w:rPr>
              <w:t>segura que todos los involucrados en el estudio estén enterados de cada una de las notificaciones del Comité  tal como se describe en la sección CO</w:t>
            </w:r>
            <w:r>
              <w:rPr>
                <w:color w:val="000000"/>
                <w:szCs w:val="24"/>
                <w:lang w:val="es-ES"/>
              </w:rPr>
              <w:t xml:space="preserve"> </w:t>
            </w:r>
            <w:r w:rsidR="00DC0A38" w:rsidRPr="000F7F65">
              <w:rPr>
                <w:color w:val="000000"/>
                <w:szCs w:val="24"/>
                <w:lang w:val="es-ES"/>
              </w:rPr>
              <w:t>602</w:t>
            </w:r>
          </w:p>
        </w:tc>
        <w:tc>
          <w:tcPr>
            <w:tcW w:w="270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 xml:space="preserve">Ver anexos </w:t>
            </w:r>
            <w:r w:rsidRPr="000F7F65">
              <w:rPr>
                <w:bCs w:val="0"/>
                <w:color w:val="000000"/>
                <w:szCs w:val="24"/>
                <w:lang w:val="es-ES"/>
              </w:rPr>
              <w:t xml:space="preserve">CO 601-A </w:t>
            </w:r>
            <w:proofErr w:type="spellStart"/>
            <w:r w:rsidRPr="000F7F65">
              <w:rPr>
                <w:bCs w:val="0"/>
                <w:color w:val="000000"/>
                <w:szCs w:val="24"/>
                <w:lang w:val="es-ES"/>
              </w:rPr>
              <w:t>al</w:t>
            </w:r>
            <w:proofErr w:type="spellEnd"/>
            <w:r w:rsidRPr="000F7F65">
              <w:rPr>
                <w:bCs w:val="0"/>
                <w:color w:val="000000"/>
                <w:szCs w:val="24"/>
                <w:lang w:val="es-ES"/>
              </w:rPr>
              <w:t xml:space="preserve"> CO 601-P</w:t>
            </w:r>
          </w:p>
        </w:tc>
      </w:tr>
      <w:tr w:rsidR="00DC0A38" w:rsidRPr="000F7F65" w:rsidTr="00234788">
        <w:trPr>
          <w:cantSplit/>
        </w:trPr>
        <w:tc>
          <w:tcPr>
            <w:tcW w:w="225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>Secretaria Asistente</w:t>
            </w:r>
          </w:p>
        </w:tc>
        <w:tc>
          <w:tcPr>
            <w:tcW w:w="3846" w:type="dxa"/>
            <w:shd w:val="pct5" w:color="000000" w:fill="FFFFFF"/>
          </w:tcPr>
          <w:p w:rsidR="00DC0A38" w:rsidRPr="000F7F65" w:rsidRDefault="00DC0A38" w:rsidP="00FC1163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  <w:r w:rsidRPr="000F7F65">
              <w:rPr>
                <w:color w:val="000000"/>
                <w:szCs w:val="24"/>
                <w:lang w:val="es-ES"/>
              </w:rPr>
              <w:t>Distribu</w:t>
            </w:r>
            <w:r w:rsidR="00FC1163">
              <w:rPr>
                <w:color w:val="000000"/>
                <w:szCs w:val="24"/>
                <w:lang w:val="es-ES"/>
              </w:rPr>
              <w:t>ir</w:t>
            </w:r>
            <w:r w:rsidRPr="000F7F65">
              <w:rPr>
                <w:color w:val="000000"/>
                <w:szCs w:val="24"/>
                <w:lang w:val="es-ES"/>
              </w:rPr>
              <w:t xml:space="preserve"> la correspondencia. Graba</w:t>
            </w:r>
            <w:r w:rsidR="00FC1163">
              <w:rPr>
                <w:color w:val="000000"/>
                <w:szCs w:val="24"/>
                <w:lang w:val="es-ES"/>
              </w:rPr>
              <w:t>r</w:t>
            </w:r>
            <w:r w:rsidRPr="000F7F65">
              <w:rPr>
                <w:color w:val="000000"/>
                <w:szCs w:val="24"/>
                <w:lang w:val="es-ES"/>
              </w:rPr>
              <w:t xml:space="preserve"> las comunicaciones que se requieran</w:t>
            </w:r>
          </w:p>
        </w:tc>
        <w:tc>
          <w:tcPr>
            <w:tcW w:w="2700" w:type="dxa"/>
            <w:shd w:val="pct5" w:color="000000" w:fill="FFFFFF"/>
          </w:tcPr>
          <w:p w:rsidR="00DC0A38" w:rsidRPr="000F7F65" w:rsidRDefault="00DC0A38" w:rsidP="00CA318A">
            <w:pPr>
              <w:pStyle w:val="procedurestablestyle"/>
              <w:jc w:val="both"/>
              <w:rPr>
                <w:color w:val="000000"/>
                <w:szCs w:val="24"/>
                <w:lang w:val="es-ES"/>
              </w:rPr>
            </w:pPr>
          </w:p>
        </w:tc>
      </w:tr>
    </w:tbl>
    <w:p w:rsidR="0098277D" w:rsidRPr="000F7F65" w:rsidRDefault="0098277D" w:rsidP="0098277D">
      <w:pPr>
        <w:tabs>
          <w:tab w:val="left" w:pos="2889"/>
        </w:tabs>
        <w:rPr>
          <w:rFonts w:ascii="Arial" w:hAnsi="Arial" w:cs="Arial"/>
        </w:rPr>
      </w:pPr>
    </w:p>
    <w:p w:rsidR="0098277D" w:rsidRPr="000F7F65" w:rsidRDefault="0098277D" w:rsidP="0098277D">
      <w:pPr>
        <w:tabs>
          <w:tab w:val="left" w:pos="2889"/>
        </w:tabs>
        <w:rPr>
          <w:rFonts w:ascii="Arial" w:hAnsi="Arial" w:cs="Arial"/>
        </w:rPr>
      </w:pPr>
    </w:p>
    <w:p w:rsidR="00803517" w:rsidRPr="000F7F65" w:rsidRDefault="00803517" w:rsidP="00DB53D2">
      <w:pPr>
        <w:jc w:val="both"/>
        <w:rPr>
          <w:rFonts w:ascii="Arial" w:hAnsi="Arial" w:cs="Arial"/>
          <w:b/>
        </w:rPr>
      </w:pPr>
      <w:r w:rsidRPr="000F7F65">
        <w:rPr>
          <w:rFonts w:ascii="Arial" w:hAnsi="Arial" w:cs="Arial"/>
          <w:b/>
        </w:rPr>
        <w:t>VI. MATERIALES</w:t>
      </w:r>
    </w:p>
    <w:p w:rsidR="003D3DE3" w:rsidRPr="000F7F65" w:rsidRDefault="003D3DE3" w:rsidP="00DB53D2">
      <w:pPr>
        <w:jc w:val="both"/>
        <w:rPr>
          <w:rFonts w:ascii="Arial" w:hAnsi="Arial" w:cs="Arial"/>
          <w:b/>
        </w:rPr>
      </w:pP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601-A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 xml:space="preserve">Notificación de Aprobación del </w:t>
      </w:r>
      <w:r w:rsidR="00B72B62">
        <w:rPr>
          <w:rFonts w:ascii="Arial" w:hAnsi="Arial" w:cs="Arial"/>
          <w:bCs/>
          <w:color w:val="000000"/>
        </w:rPr>
        <w:t>CEI</w:t>
      </w:r>
      <w:r w:rsidRPr="000F7F65">
        <w:rPr>
          <w:rFonts w:ascii="Arial" w:hAnsi="Arial" w:cs="Arial"/>
          <w:bCs/>
          <w:color w:val="000000"/>
        </w:rPr>
        <w:t xml:space="preserve"> y de Investigación.</w:t>
      </w:r>
    </w:p>
    <w:p w:rsidR="00DC0A38" w:rsidRPr="000F7F65" w:rsidRDefault="00FC1163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 601-B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Notificación P</w:t>
      </w:r>
      <w:r w:rsidR="00DC0A38" w:rsidRPr="000F7F65">
        <w:rPr>
          <w:rFonts w:ascii="Arial" w:hAnsi="Arial" w:cs="Arial"/>
          <w:bCs/>
          <w:color w:val="000000"/>
        </w:rPr>
        <w:t xml:space="preserve">endiente del </w:t>
      </w:r>
      <w:r w:rsidR="00B72B62">
        <w:rPr>
          <w:rFonts w:ascii="Arial" w:hAnsi="Arial" w:cs="Arial"/>
          <w:bCs/>
          <w:color w:val="000000"/>
        </w:rPr>
        <w:t>CEI</w:t>
      </w:r>
      <w:r w:rsidR="00DC0A38" w:rsidRPr="000F7F65">
        <w:rPr>
          <w:rFonts w:ascii="Arial" w:hAnsi="Arial" w:cs="Arial"/>
          <w:bCs/>
          <w:color w:val="000000"/>
        </w:rPr>
        <w:t xml:space="preserve"> y de Investigación.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601-C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 xml:space="preserve">Notificaciones de protocolos </w:t>
      </w:r>
      <w:r w:rsidR="00FC1163">
        <w:rPr>
          <w:rFonts w:ascii="Arial" w:hAnsi="Arial" w:cs="Arial"/>
          <w:bCs/>
          <w:color w:val="000000"/>
        </w:rPr>
        <w:t>sometidos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601-D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 xml:space="preserve">Garantía de Cumplimiento del </w:t>
      </w:r>
      <w:r w:rsidR="00B72B62">
        <w:rPr>
          <w:rFonts w:ascii="Arial" w:hAnsi="Arial" w:cs="Arial"/>
          <w:bCs/>
          <w:color w:val="000000"/>
        </w:rPr>
        <w:t>CEI</w:t>
      </w:r>
      <w:r w:rsidRPr="000F7F65">
        <w:rPr>
          <w:rFonts w:ascii="Arial" w:hAnsi="Arial" w:cs="Arial"/>
          <w:bCs/>
          <w:color w:val="000000"/>
        </w:rPr>
        <w:t>.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601-E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Notificaciones de N</w:t>
      </w:r>
      <w:r w:rsidR="00FC1163">
        <w:rPr>
          <w:rFonts w:ascii="Arial" w:hAnsi="Arial" w:cs="Arial"/>
          <w:bCs/>
          <w:color w:val="000000"/>
        </w:rPr>
        <w:t xml:space="preserve">o Aprobación de un </w:t>
      </w:r>
      <w:r w:rsidRPr="000F7F65">
        <w:rPr>
          <w:rFonts w:ascii="Arial" w:hAnsi="Arial" w:cs="Arial"/>
          <w:bCs/>
          <w:color w:val="000000"/>
        </w:rPr>
        <w:t>estudio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601-F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Notificación de Renovación de Protocolo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601-G</w:t>
      </w:r>
      <w:r w:rsidRPr="000F7F65">
        <w:rPr>
          <w:rFonts w:ascii="Arial" w:hAnsi="Arial" w:cs="Arial"/>
          <w:bCs/>
          <w:color w:val="000000"/>
        </w:rPr>
        <w:tab/>
      </w:r>
      <w:r w:rsidR="00FC1163">
        <w:rPr>
          <w:rFonts w:ascii="Arial" w:hAnsi="Arial" w:cs="Arial"/>
          <w:bCs/>
          <w:color w:val="000000"/>
        </w:rPr>
        <w:tab/>
        <w:t>Notificación de Aprobación de E</w:t>
      </w:r>
      <w:r w:rsidRPr="000F7F65">
        <w:rPr>
          <w:rFonts w:ascii="Arial" w:hAnsi="Arial" w:cs="Arial"/>
          <w:bCs/>
          <w:color w:val="000000"/>
        </w:rPr>
        <w:t>nmienda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601-H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Notificación de Aprobación de Publicidad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601-I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</w:r>
      <w:r w:rsidR="00FC1163">
        <w:rPr>
          <w:rFonts w:ascii="Arial" w:hAnsi="Arial" w:cs="Arial"/>
          <w:bCs/>
          <w:color w:val="000000"/>
        </w:rPr>
        <w:t>Reporte de enterado de Eventos Adversos S</w:t>
      </w:r>
      <w:r w:rsidRPr="000F7F65">
        <w:rPr>
          <w:rFonts w:ascii="Arial" w:hAnsi="Arial" w:cs="Arial"/>
          <w:bCs/>
          <w:color w:val="000000"/>
        </w:rPr>
        <w:t>erios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601-J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Recordatorio de Renovación de estudio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601-K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Solicitud de Estatus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601-L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Notificación de Terminación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601-M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Notificación de Suspensión del Estudio (por falta de reporte de seguimiento)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601-N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Notificación de Terminación de</w:t>
      </w:r>
      <w:r w:rsidR="009A4F52">
        <w:rPr>
          <w:rFonts w:ascii="Arial" w:hAnsi="Arial" w:cs="Arial"/>
          <w:bCs/>
          <w:color w:val="000000"/>
        </w:rPr>
        <w:t>l Estudio (p</w:t>
      </w:r>
      <w:r w:rsidRPr="000F7F65">
        <w:rPr>
          <w:rFonts w:ascii="Arial" w:hAnsi="Arial" w:cs="Arial"/>
          <w:bCs/>
          <w:color w:val="000000"/>
        </w:rPr>
        <w:t>or otra causa)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lastRenderedPageBreak/>
        <w:t>CO 601-O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Notificación de inhabilitación</w:t>
      </w:r>
    </w:p>
    <w:p w:rsidR="00DC0A38" w:rsidRPr="000F7F65" w:rsidRDefault="00DC0A38" w:rsidP="00DC0A38">
      <w:pPr>
        <w:tabs>
          <w:tab w:val="left" w:pos="1638"/>
          <w:tab w:val="left" w:pos="1908"/>
          <w:tab w:val="left" w:pos="10278"/>
        </w:tabs>
        <w:ind w:left="1908" w:hanging="1530"/>
        <w:jc w:val="both"/>
        <w:rPr>
          <w:rFonts w:ascii="Arial" w:hAnsi="Arial" w:cs="Arial"/>
          <w:bCs/>
          <w:color w:val="000000"/>
        </w:rPr>
      </w:pPr>
      <w:r w:rsidRPr="000F7F65">
        <w:rPr>
          <w:rFonts w:ascii="Arial" w:hAnsi="Arial" w:cs="Arial"/>
          <w:bCs/>
          <w:color w:val="000000"/>
        </w:rPr>
        <w:t>CO 601-P</w:t>
      </w:r>
      <w:r w:rsidRPr="000F7F65">
        <w:rPr>
          <w:rFonts w:ascii="Arial" w:hAnsi="Arial" w:cs="Arial"/>
          <w:bCs/>
          <w:color w:val="000000"/>
        </w:rPr>
        <w:tab/>
      </w:r>
      <w:r w:rsidRPr="000F7F65">
        <w:rPr>
          <w:rFonts w:ascii="Arial" w:hAnsi="Arial" w:cs="Arial"/>
          <w:bCs/>
          <w:color w:val="000000"/>
        </w:rPr>
        <w:tab/>
        <w:t>Registro de comunicaciones</w:t>
      </w:r>
    </w:p>
    <w:p w:rsidR="0084626A" w:rsidRPr="000F7F65" w:rsidRDefault="0084626A" w:rsidP="00F81921">
      <w:pPr>
        <w:ind w:firstLine="378"/>
        <w:jc w:val="both"/>
        <w:rPr>
          <w:rFonts w:ascii="Arial" w:hAnsi="Arial" w:cs="Arial"/>
          <w:b/>
        </w:rPr>
      </w:pPr>
    </w:p>
    <w:p w:rsidR="00F81921" w:rsidRPr="000F7F65" w:rsidRDefault="00F81921" w:rsidP="00DB53D2">
      <w:pPr>
        <w:jc w:val="both"/>
        <w:rPr>
          <w:rFonts w:ascii="Arial" w:hAnsi="Arial" w:cs="Arial"/>
          <w:b/>
        </w:rPr>
      </w:pPr>
    </w:p>
    <w:p w:rsidR="00830631" w:rsidRPr="000F7F65" w:rsidRDefault="00830631" w:rsidP="00DB53D2">
      <w:pPr>
        <w:jc w:val="both"/>
        <w:rPr>
          <w:rFonts w:ascii="Arial" w:hAnsi="Arial" w:cs="Arial"/>
          <w:b/>
        </w:rPr>
      </w:pPr>
      <w:r w:rsidRPr="000F7F65">
        <w:rPr>
          <w:rFonts w:ascii="Arial" w:hAnsi="Arial" w:cs="Arial"/>
          <w:b/>
        </w:rPr>
        <w:t>VII. LIGAS DE INTERES</w:t>
      </w:r>
      <w:r w:rsidR="002E2FEC" w:rsidRPr="000F7F65">
        <w:rPr>
          <w:rFonts w:ascii="Arial" w:hAnsi="Arial" w:cs="Arial"/>
          <w:b/>
        </w:rPr>
        <w:t xml:space="preserve"> O DE DESCARGA</w:t>
      </w:r>
    </w:p>
    <w:p w:rsidR="00985FCE" w:rsidRPr="000F7F65" w:rsidRDefault="00985FCE" w:rsidP="00DB53D2">
      <w:pPr>
        <w:jc w:val="both"/>
        <w:rPr>
          <w:rFonts w:ascii="Arial" w:hAnsi="Arial" w:cs="Arial"/>
          <w:b/>
        </w:rPr>
      </w:pPr>
    </w:p>
    <w:p w:rsidR="00F81921" w:rsidRPr="000F7F65" w:rsidRDefault="00CB37E8" w:rsidP="00F21DC2">
      <w:pPr>
        <w:pStyle w:val="Default"/>
        <w:ind w:firstLine="708"/>
        <w:rPr>
          <w:rFonts w:ascii="Arial" w:hAnsi="Arial" w:cs="Arial"/>
          <w:color w:val="auto"/>
        </w:rPr>
      </w:pPr>
      <w:r w:rsidRPr="000F7F65">
        <w:rPr>
          <w:rFonts w:ascii="Arial" w:hAnsi="Arial" w:cs="Arial"/>
          <w:color w:val="auto"/>
        </w:rPr>
        <w:t xml:space="preserve">VII.1 </w:t>
      </w:r>
      <w:r w:rsidR="0098277D" w:rsidRPr="000F7F65">
        <w:rPr>
          <w:rFonts w:ascii="Arial" w:hAnsi="Arial" w:cs="Arial"/>
          <w:color w:val="auto"/>
        </w:rPr>
        <w:t>Guía de regulaciones de la FDA</w:t>
      </w:r>
    </w:p>
    <w:p w:rsidR="0098277D" w:rsidRPr="000F7F65" w:rsidRDefault="008D0520" w:rsidP="009A4F52">
      <w:pPr>
        <w:pStyle w:val="Default"/>
        <w:ind w:left="708"/>
        <w:rPr>
          <w:rFonts w:ascii="Arial" w:hAnsi="Arial" w:cs="Arial"/>
          <w:color w:val="auto"/>
        </w:rPr>
      </w:pPr>
      <w:hyperlink r:id="rId8" w:history="1">
        <w:r w:rsidR="009A4F52" w:rsidRPr="0046261E">
          <w:rPr>
            <w:rStyle w:val="Hipervnculo"/>
            <w:rFonts w:ascii="Arial" w:hAnsi="Arial" w:cs="Arial"/>
          </w:rPr>
          <w:t>http://www.fda.gov/ScienceResearch/SpecialTopics/RunningClinicalTrials/GuidancesInformationSheetsandNotices/ucm113709.htm</w:t>
        </w:r>
      </w:hyperlink>
    </w:p>
    <w:p w:rsidR="0098277D" w:rsidRPr="000F7F65" w:rsidRDefault="0098277D" w:rsidP="00F21DC2">
      <w:pPr>
        <w:pStyle w:val="Default"/>
        <w:ind w:firstLine="708"/>
        <w:rPr>
          <w:rFonts w:ascii="Arial" w:hAnsi="Arial" w:cs="Arial"/>
          <w:color w:val="auto"/>
        </w:rPr>
      </w:pPr>
    </w:p>
    <w:p w:rsidR="00803517" w:rsidRPr="000F7F65" w:rsidRDefault="00803517" w:rsidP="00DB53D2">
      <w:pPr>
        <w:jc w:val="both"/>
        <w:rPr>
          <w:rFonts w:ascii="Arial" w:hAnsi="Arial" w:cs="Arial"/>
          <w:b/>
        </w:rPr>
      </w:pPr>
    </w:p>
    <w:p w:rsidR="00803517" w:rsidRPr="000F7F65" w:rsidRDefault="00803517" w:rsidP="00DB53D2">
      <w:pPr>
        <w:jc w:val="both"/>
        <w:rPr>
          <w:rFonts w:ascii="Arial" w:hAnsi="Arial" w:cs="Arial"/>
          <w:b/>
        </w:rPr>
      </w:pPr>
      <w:r w:rsidRPr="000F7F65">
        <w:rPr>
          <w:rFonts w:ascii="Arial" w:hAnsi="Arial" w:cs="Arial"/>
          <w:b/>
        </w:rPr>
        <w:t>VI</w:t>
      </w:r>
      <w:r w:rsidR="00830631" w:rsidRPr="000F7F65">
        <w:rPr>
          <w:rFonts w:ascii="Arial" w:hAnsi="Arial" w:cs="Arial"/>
          <w:b/>
        </w:rPr>
        <w:t>I</w:t>
      </w:r>
      <w:r w:rsidRPr="000F7F65">
        <w:rPr>
          <w:rFonts w:ascii="Arial" w:hAnsi="Arial" w:cs="Arial"/>
          <w:b/>
        </w:rPr>
        <w:t>I. REFERENCIAS</w:t>
      </w:r>
    </w:p>
    <w:p w:rsidR="003711D6" w:rsidRPr="000F7F65" w:rsidRDefault="003711D6" w:rsidP="0066775B">
      <w:pPr>
        <w:pStyle w:val="level1bodystyle"/>
        <w:ind w:left="1080"/>
        <w:jc w:val="both"/>
        <w:rPr>
          <w:szCs w:val="24"/>
          <w:lang w:val="es-ES"/>
        </w:rPr>
      </w:pPr>
    </w:p>
    <w:p w:rsidR="00DC0A38" w:rsidRPr="000F7F65" w:rsidRDefault="00DC0A38" w:rsidP="00DC0A38">
      <w:pPr>
        <w:pStyle w:val="Prrafodelista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0F7F65">
        <w:rPr>
          <w:rFonts w:ascii="Arial" w:hAnsi="Arial" w:cs="Arial"/>
          <w:color w:val="000000"/>
        </w:rPr>
        <w:t>21 CFR 56.109,</w:t>
      </w:r>
      <w:r w:rsidR="009A4F52">
        <w:rPr>
          <w:rFonts w:ascii="Arial" w:hAnsi="Arial" w:cs="Arial"/>
          <w:color w:val="000000"/>
        </w:rPr>
        <w:t xml:space="preserve"> </w:t>
      </w:r>
      <w:r w:rsidRPr="000F7F65">
        <w:rPr>
          <w:rFonts w:ascii="Arial" w:hAnsi="Arial" w:cs="Arial"/>
          <w:color w:val="000000"/>
        </w:rPr>
        <w:t>56.113</w:t>
      </w:r>
    </w:p>
    <w:p w:rsidR="00DC0A38" w:rsidRPr="000F7F65" w:rsidRDefault="00DC0A38" w:rsidP="00DC0A38">
      <w:pPr>
        <w:pStyle w:val="Prrafodelista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0F7F65">
        <w:rPr>
          <w:rFonts w:ascii="Arial" w:hAnsi="Arial" w:cs="Arial"/>
          <w:color w:val="000000"/>
        </w:rPr>
        <w:t>45 CFR 46.109,</w:t>
      </w:r>
      <w:r w:rsidR="009A4F52">
        <w:rPr>
          <w:rFonts w:ascii="Arial" w:hAnsi="Arial" w:cs="Arial"/>
          <w:color w:val="000000"/>
        </w:rPr>
        <w:t xml:space="preserve"> </w:t>
      </w:r>
      <w:r w:rsidRPr="000F7F65">
        <w:rPr>
          <w:rFonts w:ascii="Arial" w:hAnsi="Arial" w:cs="Arial"/>
          <w:color w:val="000000"/>
        </w:rPr>
        <w:t>46.113</w:t>
      </w:r>
    </w:p>
    <w:p w:rsidR="00DC0A38" w:rsidRPr="000F7F65" w:rsidRDefault="00DC0A38" w:rsidP="00DC0A38">
      <w:pPr>
        <w:pStyle w:val="Prrafodelista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0F7F65">
        <w:rPr>
          <w:rFonts w:ascii="Arial" w:hAnsi="Arial" w:cs="Arial"/>
          <w:color w:val="000000"/>
        </w:rPr>
        <w:t>Reglamento de Investigación de la Facultad de Medicina y Hospital Universitario</w:t>
      </w:r>
      <w:r w:rsidR="009A4F52">
        <w:rPr>
          <w:rFonts w:ascii="Arial" w:hAnsi="Arial" w:cs="Arial"/>
          <w:color w:val="000000"/>
        </w:rPr>
        <w:t xml:space="preserve"> de la UANL</w:t>
      </w:r>
      <w:r w:rsidRPr="000F7F65">
        <w:rPr>
          <w:rFonts w:ascii="Arial" w:hAnsi="Arial" w:cs="Arial"/>
          <w:color w:val="000000"/>
        </w:rPr>
        <w:t>.</w:t>
      </w:r>
    </w:p>
    <w:p w:rsidR="00DC0A38" w:rsidRPr="000F7F65" w:rsidRDefault="00DC0A38" w:rsidP="00DC0A38">
      <w:pPr>
        <w:pStyle w:val="Prrafodelista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0F7F65">
        <w:rPr>
          <w:rFonts w:ascii="Arial" w:hAnsi="Arial" w:cs="Arial"/>
          <w:color w:val="000000"/>
        </w:rPr>
        <w:t xml:space="preserve">Ley General de Salud en Materia de Investigación a través de la Norma </w:t>
      </w:r>
      <w:r w:rsidR="00976C6C" w:rsidRPr="000F7F65">
        <w:rPr>
          <w:rFonts w:ascii="Arial" w:hAnsi="Arial" w:cs="Arial"/>
          <w:color w:val="000000"/>
        </w:rPr>
        <w:t>Técnica</w:t>
      </w:r>
      <w:bookmarkStart w:id="0" w:name="_GoBack"/>
      <w:bookmarkEnd w:id="0"/>
      <w:r w:rsidRPr="000F7F65">
        <w:rPr>
          <w:rFonts w:ascii="Arial" w:hAnsi="Arial" w:cs="Arial"/>
          <w:color w:val="000000"/>
        </w:rPr>
        <w:t xml:space="preserve"> No. 313.</w:t>
      </w:r>
    </w:p>
    <w:p w:rsidR="0066775B" w:rsidRPr="00234788" w:rsidRDefault="006401B4" w:rsidP="00351E7B">
      <w:pPr>
        <w:pStyle w:val="level1bodystyle"/>
        <w:numPr>
          <w:ilvl w:val="0"/>
          <w:numId w:val="1"/>
        </w:numPr>
        <w:jc w:val="both"/>
        <w:rPr>
          <w:szCs w:val="24"/>
          <w:lang w:val="es-ES"/>
        </w:rPr>
      </w:pPr>
      <w:r w:rsidRPr="00234788">
        <w:rPr>
          <w:szCs w:val="24"/>
          <w:lang w:val="es-MX"/>
        </w:rPr>
        <w:t>Referencia de la AAHRPP</w:t>
      </w:r>
      <w:r w:rsidR="00E81964" w:rsidRPr="00234788">
        <w:rPr>
          <w:szCs w:val="24"/>
          <w:lang w:val="es-MX"/>
        </w:rPr>
        <w:t xml:space="preserve">. </w:t>
      </w:r>
      <w:r w:rsidR="0098277D" w:rsidRPr="00234788">
        <w:rPr>
          <w:szCs w:val="24"/>
          <w:lang w:val="es-MX"/>
        </w:rPr>
        <w:t>Elementos</w:t>
      </w:r>
      <w:r w:rsidR="00152724" w:rsidRPr="00234788">
        <w:rPr>
          <w:szCs w:val="24"/>
          <w:lang w:val="es-MX"/>
        </w:rPr>
        <w:t>II.2F</w:t>
      </w:r>
    </w:p>
    <w:sectPr w:rsidR="0066775B" w:rsidRPr="00234788" w:rsidSect="00EE4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B4" w:rsidRDefault="00E81CB4" w:rsidP="00CB37E8">
      <w:r>
        <w:separator/>
      </w:r>
    </w:p>
  </w:endnote>
  <w:endnote w:type="continuationSeparator" w:id="0">
    <w:p w:rsidR="00E81CB4" w:rsidRDefault="00E81CB4" w:rsidP="00CB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81" w:rsidRDefault="00D20B8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273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5C7308" w:rsidRDefault="005C7308">
            <w:pPr>
              <w:pStyle w:val="Piedepgina"/>
              <w:jc w:val="right"/>
            </w:pPr>
            <w:r>
              <w:t xml:space="preserve">Página </w:t>
            </w:r>
            <w:r w:rsidR="008D052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D0520">
              <w:rPr>
                <w:b/>
              </w:rPr>
              <w:fldChar w:fldCharType="separate"/>
            </w:r>
            <w:r w:rsidR="00D20B81">
              <w:rPr>
                <w:b/>
                <w:noProof/>
              </w:rPr>
              <w:t>1</w:t>
            </w:r>
            <w:r w:rsidR="008D0520">
              <w:rPr>
                <w:b/>
              </w:rPr>
              <w:fldChar w:fldCharType="end"/>
            </w:r>
            <w:r>
              <w:t xml:space="preserve"> de </w:t>
            </w:r>
            <w:r w:rsidR="008D052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D0520">
              <w:rPr>
                <w:b/>
              </w:rPr>
              <w:fldChar w:fldCharType="separate"/>
            </w:r>
            <w:r w:rsidR="00D20B81">
              <w:rPr>
                <w:b/>
                <w:noProof/>
              </w:rPr>
              <w:t>6</w:t>
            </w:r>
            <w:r w:rsidR="008D0520">
              <w:rPr>
                <w:b/>
              </w:rPr>
              <w:fldChar w:fldCharType="end"/>
            </w:r>
          </w:p>
        </w:sdtContent>
      </w:sdt>
    </w:sdtContent>
  </w:sdt>
  <w:p w:rsidR="005C7308" w:rsidRDefault="005C730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81" w:rsidRDefault="00D20B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B4" w:rsidRDefault="00E81CB4" w:rsidP="00CB37E8">
      <w:r>
        <w:separator/>
      </w:r>
    </w:p>
  </w:footnote>
  <w:footnote w:type="continuationSeparator" w:id="0">
    <w:p w:rsidR="00E81CB4" w:rsidRDefault="00E81CB4" w:rsidP="00CB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81" w:rsidRDefault="00D20B8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08" w:rsidRDefault="005C7308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/>
    </w:tblPr>
    <w:tblGrid>
      <w:gridCol w:w="2165"/>
      <w:gridCol w:w="1165"/>
      <w:gridCol w:w="1422"/>
      <w:gridCol w:w="2016"/>
      <w:gridCol w:w="2288"/>
    </w:tblGrid>
    <w:tr w:rsidR="005C7308" w:rsidTr="007A5DCE">
      <w:trPr>
        <w:trHeight w:val="410"/>
      </w:trPr>
      <w:tc>
        <w:tcPr>
          <w:tcW w:w="1196" w:type="pct"/>
          <w:vMerge w:val="restart"/>
        </w:tcPr>
        <w:p w:rsidR="005C7308" w:rsidRDefault="005C7308" w:rsidP="007A5DCE">
          <w:pPr>
            <w:rPr>
              <w:sz w:val="10"/>
            </w:rPr>
          </w:pPr>
        </w:p>
        <w:p w:rsidR="005C7308" w:rsidRDefault="005C7308" w:rsidP="007A5DCE">
          <w:pPr>
            <w:rPr>
              <w:rFonts w:ascii="Arial" w:hAnsi="Arial" w:cs="Arial"/>
              <w:sz w:val="12"/>
            </w:rPr>
          </w:pPr>
        </w:p>
        <w:p w:rsidR="005C7308" w:rsidRDefault="005C7308" w:rsidP="007A5DCE">
          <w:pPr>
            <w:rPr>
              <w:rFonts w:ascii="Arial" w:hAnsi="Arial" w:cs="Arial"/>
              <w:sz w:val="12"/>
            </w:rPr>
          </w:pPr>
        </w:p>
        <w:p w:rsidR="005C7308" w:rsidRDefault="005C7308" w:rsidP="007A5DCE">
          <w:pPr>
            <w:rPr>
              <w:rFonts w:ascii="Arial" w:hAnsi="Arial" w:cs="Arial"/>
              <w:sz w:val="12"/>
            </w:rPr>
          </w:pPr>
        </w:p>
        <w:p w:rsidR="005C7308" w:rsidRDefault="005C7308" w:rsidP="007A5DCE">
          <w:pPr>
            <w:rPr>
              <w:rFonts w:ascii="Arial" w:hAnsi="Arial" w:cs="Arial"/>
              <w:sz w:val="12"/>
            </w:rPr>
          </w:pPr>
        </w:p>
        <w:p w:rsidR="005C7308" w:rsidRDefault="005C7308" w:rsidP="007A5DCE">
          <w:pPr>
            <w:rPr>
              <w:rFonts w:ascii="Arial" w:hAnsi="Arial" w:cs="Arial"/>
              <w:sz w:val="12"/>
            </w:rPr>
          </w:pPr>
        </w:p>
        <w:p w:rsidR="005C7308" w:rsidRDefault="005C7308" w:rsidP="007A5DCE">
          <w:pPr>
            <w:rPr>
              <w:rFonts w:ascii="Arial" w:hAnsi="Arial" w:cs="Arial"/>
              <w:sz w:val="12"/>
            </w:rPr>
          </w:pPr>
        </w:p>
        <w:p w:rsidR="00B72B62" w:rsidRDefault="00B72B62" w:rsidP="00B72B62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5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B72B62" w:rsidRDefault="00B72B62" w:rsidP="00B72B62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5C7308" w:rsidRPr="00DB53D2" w:rsidRDefault="00B72B62" w:rsidP="00B72B62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5C7308" w:rsidRDefault="005C7308" w:rsidP="0078348C">
          <w:r>
            <w:rPr>
              <w:rFonts w:ascii="Arial" w:hAnsi="Arial" w:cs="Arial"/>
              <w:b/>
              <w:caps/>
              <w:lang w:val="es-MX"/>
            </w:rPr>
            <w:t xml:space="preserve">SOP:         </w:t>
          </w:r>
          <w:r w:rsidR="00B128DF">
            <w:rPr>
              <w:rFonts w:ascii="Arial" w:hAnsi="Arial" w:cs="Arial"/>
              <w:b/>
              <w:bCs/>
              <w:caps/>
              <w:color w:val="000000"/>
            </w:rPr>
            <w:t xml:space="preserve">COMUNICACIONES: </w:t>
          </w:r>
          <w:r w:rsidR="00F47CEF" w:rsidRPr="009003F7">
            <w:rPr>
              <w:rFonts w:ascii="Arial" w:hAnsi="Arial" w:cs="Arial"/>
              <w:b/>
              <w:bCs/>
              <w:caps/>
              <w:color w:val="000000"/>
            </w:rPr>
            <w:t xml:space="preserve">GRUPO DE </w:t>
          </w:r>
          <w:r w:rsidR="00F47CEF" w:rsidRPr="009003F7">
            <w:rPr>
              <w:rFonts w:ascii="Arial" w:hAnsi="Arial" w:cs="Arial"/>
              <w:b/>
              <w:bCs/>
              <w:caps/>
              <w:color w:val="000000"/>
            </w:rPr>
            <w:t>INVESTIGADORES</w:t>
          </w:r>
        </w:p>
      </w:tc>
    </w:tr>
    <w:tr w:rsidR="005C7308" w:rsidTr="007A5DCE">
      <w:trPr>
        <w:trHeight w:val="343"/>
      </w:trPr>
      <w:tc>
        <w:tcPr>
          <w:tcW w:w="1196" w:type="pct"/>
          <w:vMerge/>
        </w:tcPr>
        <w:p w:rsidR="005C7308" w:rsidRDefault="005C7308" w:rsidP="007A5DCE"/>
      </w:tc>
      <w:tc>
        <w:tcPr>
          <w:tcW w:w="643" w:type="pct"/>
        </w:tcPr>
        <w:p w:rsidR="005C7308" w:rsidRPr="00803517" w:rsidRDefault="0095621B" w:rsidP="007A5D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</w:t>
          </w:r>
          <w:r w:rsidR="005C7308"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5C7308" w:rsidRPr="00803517" w:rsidRDefault="005C7308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5C7308" w:rsidRPr="00803517" w:rsidRDefault="005C7308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5C7308" w:rsidRPr="00803517" w:rsidRDefault="005C7308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5C7308" w:rsidTr="007A5DCE">
      <w:trPr>
        <w:trHeight w:val="544"/>
      </w:trPr>
      <w:tc>
        <w:tcPr>
          <w:tcW w:w="1196" w:type="pct"/>
          <w:vMerge/>
        </w:tcPr>
        <w:p w:rsidR="005C7308" w:rsidRDefault="005C7308" w:rsidP="007A5DCE"/>
      </w:tc>
      <w:tc>
        <w:tcPr>
          <w:tcW w:w="643" w:type="pct"/>
        </w:tcPr>
        <w:p w:rsidR="005C7308" w:rsidRDefault="00F47CEF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CO-601</w:t>
          </w:r>
        </w:p>
        <w:p w:rsidR="009A4934" w:rsidRPr="00803517" w:rsidRDefault="00B72B62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04</w:t>
          </w:r>
        </w:p>
      </w:tc>
      <w:tc>
        <w:tcPr>
          <w:tcW w:w="785" w:type="pct"/>
        </w:tcPr>
        <w:p w:rsidR="005C7308" w:rsidRPr="00803517" w:rsidRDefault="00B72B62" w:rsidP="009A493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Febrero, 2016</w:t>
          </w:r>
        </w:p>
      </w:tc>
      <w:tc>
        <w:tcPr>
          <w:tcW w:w="1113" w:type="pct"/>
        </w:tcPr>
        <w:p w:rsidR="005C7308" w:rsidRPr="00803517" w:rsidRDefault="005C7308" w:rsidP="0095621B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</w:t>
          </w:r>
          <w:r w:rsidR="0095621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Hern</w:t>
          </w:r>
          <w:r w:rsidR="0095621B">
            <w:rPr>
              <w:rFonts w:ascii="Arial" w:hAnsi="Arial" w:cs="Arial"/>
              <w:sz w:val="20"/>
              <w:szCs w:val="20"/>
            </w:rPr>
            <w:t>á</w:t>
          </w:r>
          <w:r>
            <w:rPr>
              <w:rFonts w:ascii="Arial" w:hAnsi="Arial" w:cs="Arial"/>
              <w:sz w:val="20"/>
              <w:szCs w:val="20"/>
            </w:rPr>
            <w:t>ndez, V.</w:t>
          </w:r>
          <w:r w:rsidR="0095621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Gómez, J. Garza</w:t>
          </w:r>
          <w:r w:rsidR="00B72B62"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 w:rsidR="00B72B62">
            <w:rPr>
              <w:rFonts w:ascii="Arial" w:hAnsi="Arial" w:cs="Arial"/>
              <w:sz w:val="20"/>
              <w:szCs w:val="20"/>
            </w:rPr>
            <w:t>A.Carlos</w:t>
          </w:r>
          <w:proofErr w:type="spellEnd"/>
        </w:p>
      </w:tc>
      <w:tc>
        <w:tcPr>
          <w:tcW w:w="1262" w:type="pct"/>
        </w:tcPr>
        <w:p w:rsidR="005C7308" w:rsidRPr="00803517" w:rsidRDefault="005C7308" w:rsidP="0095621B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J.</w:t>
          </w:r>
          <w:r w:rsidR="0095621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G.</w:t>
          </w:r>
          <w:r w:rsidR="0095621B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Gonz</w:t>
          </w:r>
          <w:r w:rsidR="0095621B">
            <w:rPr>
              <w:rFonts w:ascii="Arial" w:hAnsi="Arial" w:cs="Arial"/>
              <w:sz w:val="20"/>
              <w:szCs w:val="20"/>
            </w:rPr>
            <w:t>á</w:t>
          </w:r>
          <w:r>
            <w:rPr>
              <w:rFonts w:ascii="Arial" w:hAnsi="Arial" w:cs="Arial"/>
              <w:sz w:val="20"/>
              <w:szCs w:val="20"/>
            </w:rPr>
            <w:t>lez</w:t>
          </w:r>
        </w:p>
      </w:tc>
    </w:tr>
  </w:tbl>
  <w:p w:rsidR="005C7308" w:rsidRDefault="005C7308">
    <w:pPr>
      <w:pStyle w:val="Encabezado"/>
    </w:pPr>
  </w:p>
  <w:p w:rsidR="005C7308" w:rsidRDefault="005C730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81" w:rsidRDefault="00D20B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F97"/>
    <w:multiLevelType w:val="singleLevel"/>
    <w:tmpl w:val="2F8C6B00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  <w:sz w:val="16"/>
      </w:rPr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F2B18"/>
    <w:multiLevelType w:val="hybridMultilevel"/>
    <w:tmpl w:val="CD18A724"/>
    <w:lvl w:ilvl="0" w:tplc="080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B0EEB"/>
    <w:multiLevelType w:val="hybridMultilevel"/>
    <w:tmpl w:val="F00C8F8E"/>
    <w:lvl w:ilvl="0" w:tplc="FFFFFFFF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A4B87"/>
    <w:multiLevelType w:val="singleLevel"/>
    <w:tmpl w:val="2F8C6B00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  <w:sz w:val="16"/>
      </w:rPr>
    </w:lvl>
  </w:abstractNum>
  <w:abstractNum w:abstractNumId="7">
    <w:nsid w:val="122B348D"/>
    <w:multiLevelType w:val="hybridMultilevel"/>
    <w:tmpl w:val="9D9CED92"/>
    <w:lvl w:ilvl="0" w:tplc="1B004A80">
      <w:start w:val="1"/>
      <w:numFmt w:val="upperLetter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31DC7"/>
    <w:multiLevelType w:val="multilevel"/>
    <w:tmpl w:val="DFA454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800080"/>
      </w:rPr>
    </w:lvl>
    <w:lvl w:ilvl="1">
      <w:start w:val="2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  <w:color w:val="800080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  <w:color w:val="800080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  <w:color w:val="800080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  <w:color w:val="800080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  <w:color w:val="800080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  <w:color w:val="800080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  <w:color w:val="800080"/>
      </w:rPr>
    </w:lvl>
  </w:abstractNum>
  <w:abstractNum w:abstractNumId="11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A5AC6"/>
    <w:multiLevelType w:val="hybridMultilevel"/>
    <w:tmpl w:val="0E24BF7A"/>
    <w:lvl w:ilvl="0" w:tplc="E24AAD98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D0CE4"/>
    <w:multiLevelType w:val="hybridMultilevel"/>
    <w:tmpl w:val="3C3049D6"/>
    <w:lvl w:ilvl="0" w:tplc="FFFFFFFF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7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C82"/>
    <w:multiLevelType w:val="hybridMultilevel"/>
    <w:tmpl w:val="2662FE9A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B67AD"/>
    <w:multiLevelType w:val="hybridMultilevel"/>
    <w:tmpl w:val="45F0841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12CBD"/>
    <w:multiLevelType w:val="hybridMultilevel"/>
    <w:tmpl w:val="2020B082"/>
    <w:lvl w:ilvl="0" w:tplc="FFFFFFFF">
      <w:start w:val="7"/>
      <w:numFmt w:val="upperLetter"/>
      <w:lvlText w:val="%1."/>
      <w:lvlJc w:val="left"/>
      <w:pPr>
        <w:tabs>
          <w:tab w:val="num" w:pos="1926"/>
        </w:tabs>
        <w:ind w:left="1926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466F5FF6"/>
    <w:multiLevelType w:val="hybridMultilevel"/>
    <w:tmpl w:val="3F68E8E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FE184F"/>
    <w:multiLevelType w:val="hybridMultilevel"/>
    <w:tmpl w:val="C3D432D4"/>
    <w:lvl w:ilvl="0" w:tplc="F1E0CA8E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B749C"/>
    <w:multiLevelType w:val="hybridMultilevel"/>
    <w:tmpl w:val="A5CCF9E8"/>
    <w:lvl w:ilvl="0" w:tplc="B9C2F6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84757"/>
    <w:multiLevelType w:val="hybridMultilevel"/>
    <w:tmpl w:val="45B208D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0657F7"/>
    <w:multiLevelType w:val="multilevel"/>
    <w:tmpl w:val="D908BB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4">
    <w:nsid w:val="7FA12832"/>
    <w:multiLevelType w:val="multilevel"/>
    <w:tmpl w:val="5F4074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</w:num>
  <w:num w:numId="6">
    <w:abstractNumId w:val="24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9"/>
  </w:num>
  <w:num w:numId="15">
    <w:abstractNumId w:val="30"/>
  </w:num>
  <w:num w:numId="1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0"/>
  </w:num>
  <w:num w:numId="20">
    <w:abstractNumId w:val="16"/>
  </w:num>
  <w:num w:numId="21">
    <w:abstractNumId w:val="7"/>
  </w:num>
  <w:num w:numId="22">
    <w:abstractNumId w:val="21"/>
  </w:num>
  <w:num w:numId="23">
    <w:abstractNumId w:val="13"/>
  </w:num>
  <w:num w:numId="24">
    <w:abstractNumId w:val="18"/>
  </w:num>
  <w:num w:numId="25">
    <w:abstractNumId w:val="34"/>
  </w:num>
  <w:num w:numId="26">
    <w:abstractNumId w:val="20"/>
  </w:num>
  <w:num w:numId="27">
    <w:abstractNumId w:val="32"/>
  </w:num>
  <w:num w:numId="28">
    <w:abstractNumId w:val="19"/>
  </w:num>
  <w:num w:numId="29">
    <w:abstractNumId w:val="12"/>
  </w:num>
  <w:num w:numId="30">
    <w:abstractNumId w:val="15"/>
  </w:num>
  <w:num w:numId="31">
    <w:abstractNumId w:val="14"/>
  </w:num>
  <w:num w:numId="32">
    <w:abstractNumId w:val="23"/>
  </w:num>
  <w:num w:numId="33">
    <w:abstractNumId w:val="3"/>
  </w:num>
  <w:num w:numId="34">
    <w:abstractNumId w:val="22"/>
  </w:num>
  <w:num w:numId="35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DC"/>
    <w:rsid w:val="00030A6B"/>
    <w:rsid w:val="00031B43"/>
    <w:rsid w:val="000A17AD"/>
    <w:rsid w:val="000C17A5"/>
    <w:rsid w:val="000C22EF"/>
    <w:rsid w:val="000C7CB0"/>
    <w:rsid w:val="000D6C2D"/>
    <w:rsid w:val="000E2452"/>
    <w:rsid w:val="000F7F65"/>
    <w:rsid w:val="0011116D"/>
    <w:rsid w:val="00152724"/>
    <w:rsid w:val="00160AFA"/>
    <w:rsid w:val="0018311D"/>
    <w:rsid w:val="001868AB"/>
    <w:rsid w:val="001A5EE3"/>
    <w:rsid w:val="001B213D"/>
    <w:rsid w:val="001C0FC1"/>
    <w:rsid w:val="001C7CF9"/>
    <w:rsid w:val="0020729E"/>
    <w:rsid w:val="00234788"/>
    <w:rsid w:val="002472B1"/>
    <w:rsid w:val="00256156"/>
    <w:rsid w:val="00260BE7"/>
    <w:rsid w:val="00277294"/>
    <w:rsid w:val="002A7331"/>
    <w:rsid w:val="002C50B9"/>
    <w:rsid w:val="002C7153"/>
    <w:rsid w:val="002D6459"/>
    <w:rsid w:val="002E2FEC"/>
    <w:rsid w:val="002F7C55"/>
    <w:rsid w:val="00303CFC"/>
    <w:rsid w:val="003311D2"/>
    <w:rsid w:val="0033520E"/>
    <w:rsid w:val="00335ADD"/>
    <w:rsid w:val="0034216B"/>
    <w:rsid w:val="0034426B"/>
    <w:rsid w:val="00351E7B"/>
    <w:rsid w:val="003711D6"/>
    <w:rsid w:val="003B761F"/>
    <w:rsid w:val="003D3DE3"/>
    <w:rsid w:val="003D4494"/>
    <w:rsid w:val="003D7129"/>
    <w:rsid w:val="0040747C"/>
    <w:rsid w:val="0041417E"/>
    <w:rsid w:val="00422E36"/>
    <w:rsid w:val="004461FD"/>
    <w:rsid w:val="00446CBC"/>
    <w:rsid w:val="004A57B4"/>
    <w:rsid w:val="004B18FB"/>
    <w:rsid w:val="004C421F"/>
    <w:rsid w:val="004C4C5E"/>
    <w:rsid w:val="004D0E0B"/>
    <w:rsid w:val="004D1894"/>
    <w:rsid w:val="004D658C"/>
    <w:rsid w:val="004E2E38"/>
    <w:rsid w:val="004F7D7A"/>
    <w:rsid w:val="005247C2"/>
    <w:rsid w:val="005A0CB4"/>
    <w:rsid w:val="005C7308"/>
    <w:rsid w:val="005D6067"/>
    <w:rsid w:val="005E10C3"/>
    <w:rsid w:val="005F6E91"/>
    <w:rsid w:val="00621DE6"/>
    <w:rsid w:val="00637B09"/>
    <w:rsid w:val="006401B4"/>
    <w:rsid w:val="0065029A"/>
    <w:rsid w:val="0066775B"/>
    <w:rsid w:val="006E0180"/>
    <w:rsid w:val="006E6C5B"/>
    <w:rsid w:val="006F054A"/>
    <w:rsid w:val="00704D08"/>
    <w:rsid w:val="007338DF"/>
    <w:rsid w:val="007557DC"/>
    <w:rsid w:val="0076779E"/>
    <w:rsid w:val="00772EED"/>
    <w:rsid w:val="0078348C"/>
    <w:rsid w:val="007A41ED"/>
    <w:rsid w:val="007A43C1"/>
    <w:rsid w:val="007A5DCE"/>
    <w:rsid w:val="007C3E91"/>
    <w:rsid w:val="00803517"/>
    <w:rsid w:val="00830631"/>
    <w:rsid w:val="00845A36"/>
    <w:rsid w:val="0084626A"/>
    <w:rsid w:val="008462C9"/>
    <w:rsid w:val="00852A62"/>
    <w:rsid w:val="00897E2A"/>
    <w:rsid w:val="008A07E7"/>
    <w:rsid w:val="008A1BE2"/>
    <w:rsid w:val="008A5A89"/>
    <w:rsid w:val="008D0520"/>
    <w:rsid w:val="008D4414"/>
    <w:rsid w:val="008E2BE0"/>
    <w:rsid w:val="009159FF"/>
    <w:rsid w:val="00942695"/>
    <w:rsid w:val="009500E7"/>
    <w:rsid w:val="00953A18"/>
    <w:rsid w:val="0095621B"/>
    <w:rsid w:val="00975381"/>
    <w:rsid w:val="00976C6C"/>
    <w:rsid w:val="00976FD3"/>
    <w:rsid w:val="0098277D"/>
    <w:rsid w:val="00984175"/>
    <w:rsid w:val="00985FCE"/>
    <w:rsid w:val="009A4934"/>
    <w:rsid w:val="009A4F52"/>
    <w:rsid w:val="009C2EF0"/>
    <w:rsid w:val="009C37B1"/>
    <w:rsid w:val="009C4C4B"/>
    <w:rsid w:val="00A21B21"/>
    <w:rsid w:val="00A30A67"/>
    <w:rsid w:val="00A3189B"/>
    <w:rsid w:val="00A56AC2"/>
    <w:rsid w:val="00AB5F01"/>
    <w:rsid w:val="00AD384E"/>
    <w:rsid w:val="00AD7C71"/>
    <w:rsid w:val="00AF5E88"/>
    <w:rsid w:val="00B128DF"/>
    <w:rsid w:val="00B50A97"/>
    <w:rsid w:val="00B5310A"/>
    <w:rsid w:val="00B72B62"/>
    <w:rsid w:val="00BB71D1"/>
    <w:rsid w:val="00BC12A5"/>
    <w:rsid w:val="00BC5026"/>
    <w:rsid w:val="00BD547D"/>
    <w:rsid w:val="00C0643C"/>
    <w:rsid w:val="00C13F93"/>
    <w:rsid w:val="00C57B10"/>
    <w:rsid w:val="00C63C3C"/>
    <w:rsid w:val="00C853E2"/>
    <w:rsid w:val="00C977E7"/>
    <w:rsid w:val="00CA3D17"/>
    <w:rsid w:val="00CB2CE2"/>
    <w:rsid w:val="00CB37E8"/>
    <w:rsid w:val="00CC79A3"/>
    <w:rsid w:val="00CF48E9"/>
    <w:rsid w:val="00D1619F"/>
    <w:rsid w:val="00D20B81"/>
    <w:rsid w:val="00D21E35"/>
    <w:rsid w:val="00D44992"/>
    <w:rsid w:val="00D54DF4"/>
    <w:rsid w:val="00D60FD5"/>
    <w:rsid w:val="00D8488F"/>
    <w:rsid w:val="00DA0186"/>
    <w:rsid w:val="00DB53D2"/>
    <w:rsid w:val="00DC0A38"/>
    <w:rsid w:val="00DD6A74"/>
    <w:rsid w:val="00DF4E31"/>
    <w:rsid w:val="00E237A1"/>
    <w:rsid w:val="00E3004F"/>
    <w:rsid w:val="00E32601"/>
    <w:rsid w:val="00E434E3"/>
    <w:rsid w:val="00E44A47"/>
    <w:rsid w:val="00E67A9D"/>
    <w:rsid w:val="00E73033"/>
    <w:rsid w:val="00E81964"/>
    <w:rsid w:val="00E81CB4"/>
    <w:rsid w:val="00E8680A"/>
    <w:rsid w:val="00E94D30"/>
    <w:rsid w:val="00EA2201"/>
    <w:rsid w:val="00EB6C9D"/>
    <w:rsid w:val="00EB73B5"/>
    <w:rsid w:val="00EC0A2B"/>
    <w:rsid w:val="00EE448E"/>
    <w:rsid w:val="00F11BB4"/>
    <w:rsid w:val="00F21DC2"/>
    <w:rsid w:val="00F21FAA"/>
    <w:rsid w:val="00F47CEF"/>
    <w:rsid w:val="00F73169"/>
    <w:rsid w:val="00F81921"/>
    <w:rsid w:val="00FA1D30"/>
    <w:rsid w:val="00FB03AA"/>
    <w:rsid w:val="00FC1163"/>
    <w:rsid w:val="00FE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C0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20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customStyle="1" w:styleId="Level3bodystyle">
    <w:name w:val="Level 3 body style"/>
    <w:basedOn w:val="Normal"/>
    <w:rsid w:val="0098277D"/>
    <w:pPr>
      <w:spacing w:after="120"/>
      <w:ind w:left="1620"/>
    </w:pPr>
    <w:rPr>
      <w:rFonts w:ascii="Arial" w:hAnsi="Arial" w:cs="Arial"/>
      <w:szCs w:val="20"/>
      <w:lang w:val="en-US" w:eastAsia="en-US"/>
    </w:rPr>
  </w:style>
  <w:style w:type="paragraph" w:customStyle="1" w:styleId="List-level5">
    <w:name w:val="List-level 5"/>
    <w:basedOn w:val="Normal"/>
    <w:rsid w:val="0098277D"/>
    <w:pPr>
      <w:spacing w:after="120"/>
      <w:ind w:left="2340" w:hanging="360"/>
    </w:pPr>
    <w:rPr>
      <w:rFonts w:ascii="Arial" w:hAnsi="Arial" w:cs="Arial"/>
      <w:sz w:val="22"/>
      <w:szCs w:val="20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DC0A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List-Level2">
    <w:name w:val="List -Level 2"/>
    <w:basedOn w:val="Normal"/>
    <w:next w:val="Normal"/>
    <w:rsid w:val="00DC0A38"/>
    <w:pPr>
      <w:widowControl w:val="0"/>
      <w:autoSpaceDE w:val="0"/>
      <w:autoSpaceDN w:val="0"/>
      <w:adjustRightInd w:val="0"/>
      <w:snapToGrid w:val="0"/>
      <w:spacing w:after="60"/>
      <w:ind w:left="1440" w:hanging="360"/>
    </w:pPr>
    <w:rPr>
      <w:rFonts w:ascii="Arial" w:hAnsi="Arial" w:cs="Arial"/>
      <w:sz w:val="22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5621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562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5621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C0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decuerpo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decuerpo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decuerpo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decuerpo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20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customStyle="1" w:styleId="Level3bodystyle">
    <w:name w:val="Level 3 body style"/>
    <w:basedOn w:val="Normal"/>
    <w:rsid w:val="0098277D"/>
    <w:pPr>
      <w:spacing w:after="120"/>
      <w:ind w:left="1620"/>
    </w:pPr>
    <w:rPr>
      <w:rFonts w:ascii="Arial" w:hAnsi="Arial" w:cs="Arial"/>
      <w:szCs w:val="20"/>
      <w:lang w:val="en-US" w:eastAsia="en-US"/>
    </w:rPr>
  </w:style>
  <w:style w:type="paragraph" w:customStyle="1" w:styleId="List-level5">
    <w:name w:val="List-level 5"/>
    <w:basedOn w:val="Normal"/>
    <w:rsid w:val="0098277D"/>
    <w:pPr>
      <w:spacing w:after="120"/>
      <w:ind w:left="2340" w:hanging="360"/>
    </w:pPr>
    <w:rPr>
      <w:rFonts w:ascii="Arial" w:hAnsi="Arial" w:cs="Arial"/>
      <w:sz w:val="22"/>
      <w:szCs w:val="20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DC0A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List-Level2">
    <w:name w:val="List -Level 2"/>
    <w:basedOn w:val="Normal"/>
    <w:next w:val="Normal"/>
    <w:rsid w:val="00DC0A38"/>
    <w:pPr>
      <w:widowControl w:val="0"/>
      <w:autoSpaceDE w:val="0"/>
      <w:autoSpaceDN w:val="0"/>
      <w:adjustRightInd w:val="0"/>
      <w:snapToGrid w:val="0"/>
      <w:spacing w:after="60"/>
      <w:ind w:left="1440" w:hanging="360"/>
    </w:pPr>
    <w:rPr>
      <w:rFonts w:ascii="Arial" w:hAnsi="Arial" w:cs="Arial"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ScienceResearch/SpecialTopics/RunningClinicalTrials/GuidancesInformationSheetsandNotices/ucm113709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8BEE-33A8-426F-9A26-3E79B5EE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1361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Annie Carlos</cp:lastModifiedBy>
  <cp:revision>4</cp:revision>
  <cp:lastPrinted>2011-08-12T20:02:00Z</cp:lastPrinted>
  <dcterms:created xsi:type="dcterms:W3CDTF">2013-12-19T14:30:00Z</dcterms:created>
  <dcterms:modified xsi:type="dcterms:W3CDTF">2016-02-15T15:34:00Z</dcterms:modified>
</cp:coreProperties>
</file>