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B4" w:rsidRPr="00F81921" w:rsidRDefault="00F11BB4" w:rsidP="00DB53D2">
      <w:pPr>
        <w:jc w:val="both"/>
        <w:rPr>
          <w:rFonts w:ascii="Arial" w:hAnsi="Arial" w:cs="Arial"/>
        </w:rPr>
      </w:pPr>
    </w:p>
    <w:p w:rsidR="00F11BB4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I. PROPÓSITO</w:t>
      </w:r>
    </w:p>
    <w:p w:rsidR="00A8072F" w:rsidRPr="00F81921" w:rsidRDefault="00A8072F" w:rsidP="00DB53D2">
      <w:pPr>
        <w:jc w:val="both"/>
        <w:rPr>
          <w:rFonts w:ascii="Arial" w:hAnsi="Arial" w:cs="Arial"/>
          <w:b/>
        </w:rPr>
      </w:pPr>
    </w:p>
    <w:p w:rsidR="004D1894" w:rsidRPr="00F81921" w:rsidRDefault="00803517" w:rsidP="00D21E35">
      <w:pPr>
        <w:ind w:firstLine="708"/>
        <w:jc w:val="both"/>
        <w:rPr>
          <w:rFonts w:ascii="Arial" w:hAnsi="Arial" w:cs="Arial"/>
        </w:rPr>
      </w:pPr>
      <w:r w:rsidRPr="00F81921">
        <w:rPr>
          <w:rFonts w:ascii="Arial" w:hAnsi="Arial" w:cs="Arial"/>
        </w:rPr>
        <w:t>I.1.</w:t>
      </w:r>
      <w:r w:rsidR="004D1894" w:rsidRPr="00F81921">
        <w:rPr>
          <w:rFonts w:ascii="Arial" w:hAnsi="Arial" w:cs="Arial"/>
        </w:rPr>
        <w:t xml:space="preserve">Describir </w:t>
      </w:r>
      <w:r w:rsidR="008B70CC">
        <w:rPr>
          <w:rFonts w:ascii="Arial" w:hAnsi="Arial" w:cs="Arial"/>
        </w:rPr>
        <w:t>el proceso</w:t>
      </w:r>
      <w:r w:rsidR="00D21E35" w:rsidRPr="00F81921">
        <w:rPr>
          <w:rFonts w:ascii="Arial" w:hAnsi="Arial" w:cs="Arial"/>
        </w:rPr>
        <w:t xml:space="preserve"> mediante </w:t>
      </w:r>
      <w:r w:rsidR="00772EED" w:rsidRPr="00F81921">
        <w:rPr>
          <w:rFonts w:ascii="Arial" w:hAnsi="Arial" w:cs="Arial"/>
        </w:rPr>
        <w:t>el cual todos los protocolos de investigación s</w:t>
      </w:r>
      <w:r w:rsidR="009C2EF0" w:rsidRPr="00F81921">
        <w:rPr>
          <w:rFonts w:ascii="Arial" w:hAnsi="Arial" w:cs="Arial"/>
        </w:rPr>
        <w:t xml:space="preserve">on </w:t>
      </w:r>
      <w:r w:rsidR="00A30A67" w:rsidRPr="00F81921">
        <w:rPr>
          <w:rFonts w:ascii="Arial" w:hAnsi="Arial" w:cs="Arial"/>
        </w:rPr>
        <w:t>concluidos.</w:t>
      </w:r>
    </w:p>
    <w:p w:rsidR="00D21E35" w:rsidRPr="00F81921" w:rsidRDefault="009159FF" w:rsidP="00D21E35">
      <w:pPr>
        <w:ind w:firstLine="708"/>
        <w:jc w:val="both"/>
        <w:rPr>
          <w:rFonts w:ascii="Arial" w:hAnsi="Arial" w:cs="Arial"/>
        </w:rPr>
      </w:pPr>
      <w:r w:rsidRPr="00F81921">
        <w:rPr>
          <w:rFonts w:ascii="Arial" w:hAnsi="Arial" w:cs="Arial"/>
        </w:rPr>
        <w:t xml:space="preserve">I.2. </w:t>
      </w:r>
      <w:r w:rsidR="008B70CC">
        <w:rPr>
          <w:rFonts w:ascii="Arial" w:hAnsi="Arial" w:cs="Arial"/>
        </w:rPr>
        <w:t>El proceso i</w:t>
      </w:r>
      <w:r w:rsidRPr="00F81921">
        <w:rPr>
          <w:rFonts w:ascii="Arial" w:hAnsi="Arial" w:cs="Arial"/>
        </w:rPr>
        <w:t>nicia con el  sometimi</w:t>
      </w:r>
      <w:r w:rsidR="00772EED" w:rsidRPr="00F81921">
        <w:rPr>
          <w:rFonts w:ascii="Arial" w:hAnsi="Arial" w:cs="Arial"/>
        </w:rPr>
        <w:t xml:space="preserve">ento de </w:t>
      </w:r>
      <w:r w:rsidR="00A30A67" w:rsidRPr="00F81921">
        <w:rPr>
          <w:rFonts w:ascii="Arial" w:hAnsi="Arial" w:cs="Arial"/>
        </w:rPr>
        <w:t xml:space="preserve">la papelería y </w:t>
      </w:r>
      <w:r w:rsidR="008B70CC">
        <w:rPr>
          <w:rFonts w:ascii="Arial" w:hAnsi="Arial" w:cs="Arial"/>
        </w:rPr>
        <w:t xml:space="preserve">la </w:t>
      </w:r>
      <w:r w:rsidR="00A30A67" w:rsidRPr="00F81921">
        <w:rPr>
          <w:rFonts w:ascii="Arial" w:hAnsi="Arial" w:cs="Arial"/>
        </w:rPr>
        <w:t>revisión de la conclusión o cierre del estudio</w:t>
      </w:r>
    </w:p>
    <w:p w:rsidR="00D21E35" w:rsidRPr="00F81921" w:rsidRDefault="00A30A67" w:rsidP="00D21E35">
      <w:pPr>
        <w:ind w:firstLine="708"/>
        <w:jc w:val="both"/>
        <w:rPr>
          <w:rFonts w:ascii="Arial" w:hAnsi="Arial" w:cs="Arial"/>
          <w:lang w:val="es-MX"/>
        </w:rPr>
      </w:pPr>
      <w:r w:rsidRPr="00F81921">
        <w:rPr>
          <w:rFonts w:ascii="Arial" w:hAnsi="Arial" w:cs="Arial"/>
        </w:rPr>
        <w:t>I.3. Termina cuando el protocolo es cerrado.</w:t>
      </w:r>
    </w:p>
    <w:p w:rsidR="00CC79A3" w:rsidRPr="00F81921" w:rsidRDefault="00CC79A3" w:rsidP="00CC79A3">
      <w:pPr>
        <w:ind w:firstLine="708"/>
        <w:jc w:val="both"/>
        <w:rPr>
          <w:rFonts w:ascii="Arial" w:hAnsi="Arial" w:cs="Arial"/>
        </w:rPr>
      </w:pP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II. REVISIONES DE VERSIONES PREVIAS</w:t>
      </w:r>
    </w:p>
    <w:p w:rsidR="00A8072F" w:rsidRPr="00F81921" w:rsidRDefault="00A8072F" w:rsidP="00DB53D2">
      <w:pPr>
        <w:jc w:val="both"/>
        <w:rPr>
          <w:rFonts w:ascii="Arial" w:hAnsi="Arial" w:cs="Arial"/>
          <w:b/>
        </w:rPr>
      </w:pPr>
    </w:p>
    <w:p w:rsidR="00803517" w:rsidRPr="00F81921" w:rsidRDefault="00CB37E8" w:rsidP="00DB53D2">
      <w:pPr>
        <w:ind w:firstLine="708"/>
        <w:jc w:val="both"/>
        <w:rPr>
          <w:rFonts w:ascii="Arial" w:hAnsi="Arial" w:cs="Arial"/>
        </w:rPr>
      </w:pPr>
      <w:r w:rsidRPr="00F81921">
        <w:rPr>
          <w:rFonts w:ascii="Arial" w:hAnsi="Arial" w:cs="Arial"/>
        </w:rPr>
        <w:t>Ninguna</w:t>
      </w: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III. POLÍTICAS</w:t>
      </w:r>
    </w:p>
    <w:p w:rsidR="005E10C3" w:rsidRPr="00F81921" w:rsidRDefault="005E10C3" w:rsidP="00DB53D2">
      <w:pPr>
        <w:jc w:val="both"/>
        <w:rPr>
          <w:rFonts w:ascii="Arial" w:hAnsi="Arial" w:cs="Arial"/>
          <w:b/>
        </w:rPr>
      </w:pPr>
    </w:p>
    <w:p w:rsidR="00F81921" w:rsidRPr="00F81921" w:rsidRDefault="00F81921" w:rsidP="00F81921">
      <w:pPr>
        <w:pStyle w:val="level1bodystyle"/>
        <w:jc w:val="both"/>
        <w:rPr>
          <w:szCs w:val="24"/>
          <w:lang w:val="es-ES"/>
        </w:rPr>
      </w:pPr>
      <w:r w:rsidRPr="00F81921">
        <w:rPr>
          <w:szCs w:val="24"/>
          <w:lang w:val="es-ES"/>
        </w:rPr>
        <w:t xml:space="preserve">La conclusión o terminación del estudio es un cambio en </w:t>
      </w:r>
      <w:r w:rsidR="007223BE">
        <w:rPr>
          <w:szCs w:val="24"/>
          <w:lang w:val="es-ES"/>
        </w:rPr>
        <w:t xml:space="preserve">la </w:t>
      </w:r>
      <w:r w:rsidRPr="00F81921">
        <w:rPr>
          <w:szCs w:val="24"/>
          <w:lang w:val="es-ES"/>
        </w:rPr>
        <w:t xml:space="preserve">actividad y se debe reportar al </w:t>
      </w:r>
      <w:r w:rsidR="00A8072F">
        <w:rPr>
          <w:szCs w:val="24"/>
          <w:lang w:val="es-ES"/>
        </w:rPr>
        <w:t>CEI</w:t>
      </w:r>
      <w:r w:rsidRPr="00F81921">
        <w:rPr>
          <w:szCs w:val="24"/>
          <w:lang w:val="es-ES"/>
        </w:rPr>
        <w:t xml:space="preserve">.  Aunque los sujetos ya no estarán más “en riesgo” bajo el estudio, un </w:t>
      </w:r>
      <w:r w:rsidR="008F1AEA">
        <w:rPr>
          <w:szCs w:val="24"/>
          <w:lang w:val="es-ES"/>
        </w:rPr>
        <w:t>reporte</w:t>
      </w:r>
      <w:r w:rsidR="007223BE">
        <w:rPr>
          <w:szCs w:val="24"/>
          <w:lang w:val="es-ES"/>
        </w:rPr>
        <w:t xml:space="preserve"> final al </w:t>
      </w:r>
      <w:r w:rsidR="00A8072F">
        <w:rPr>
          <w:szCs w:val="24"/>
          <w:lang w:val="es-ES"/>
        </w:rPr>
        <w:t>CEI</w:t>
      </w:r>
      <w:r w:rsidRPr="00F81921">
        <w:rPr>
          <w:szCs w:val="24"/>
          <w:lang w:val="es-ES"/>
        </w:rPr>
        <w:t xml:space="preserve"> permite </w:t>
      </w:r>
      <w:r w:rsidR="007223BE">
        <w:rPr>
          <w:szCs w:val="24"/>
          <w:lang w:val="es-ES"/>
        </w:rPr>
        <w:t>el</w:t>
      </w:r>
      <w:r w:rsidRPr="00F81921">
        <w:rPr>
          <w:szCs w:val="24"/>
          <w:lang w:val="es-ES"/>
        </w:rPr>
        <w:t xml:space="preserve"> cierre sus archivos</w:t>
      </w:r>
      <w:r w:rsidR="007223BE">
        <w:rPr>
          <w:szCs w:val="24"/>
          <w:lang w:val="es-ES"/>
        </w:rPr>
        <w:t>,</w:t>
      </w:r>
      <w:r w:rsidRPr="00F81921">
        <w:rPr>
          <w:szCs w:val="24"/>
          <w:lang w:val="es-ES"/>
        </w:rPr>
        <w:t xml:space="preserve"> así como también provee de la información que se puede utilizar por el </w:t>
      </w:r>
      <w:r w:rsidR="00A8072F">
        <w:rPr>
          <w:szCs w:val="24"/>
          <w:lang w:val="es-ES"/>
        </w:rPr>
        <w:t>CEI</w:t>
      </w:r>
      <w:r w:rsidR="007223BE" w:rsidRPr="00F81921">
        <w:rPr>
          <w:szCs w:val="24"/>
          <w:lang w:val="es-ES"/>
        </w:rPr>
        <w:t xml:space="preserve"> </w:t>
      </w:r>
      <w:r w:rsidRPr="00F81921">
        <w:rPr>
          <w:szCs w:val="24"/>
          <w:lang w:val="es-ES"/>
        </w:rPr>
        <w:t>en la evaluación y la aprobación de otros estudios relacionados.</w:t>
      </w:r>
    </w:p>
    <w:p w:rsidR="00F81921" w:rsidRPr="00F81921" w:rsidRDefault="00F81921" w:rsidP="00F81921">
      <w:pPr>
        <w:pStyle w:val="level1bodystyle"/>
        <w:jc w:val="both"/>
        <w:rPr>
          <w:szCs w:val="24"/>
          <w:lang w:val="es-ES"/>
        </w:rPr>
      </w:pPr>
    </w:p>
    <w:p w:rsidR="00F81921" w:rsidRPr="00F81921" w:rsidRDefault="00F81921" w:rsidP="00F81921">
      <w:pPr>
        <w:pStyle w:val="Ttulo2"/>
        <w:jc w:val="both"/>
        <w:rPr>
          <w:rFonts w:ascii="Arial" w:hAnsi="Arial" w:cs="Arial"/>
          <w:color w:val="auto"/>
          <w:sz w:val="24"/>
          <w:szCs w:val="24"/>
        </w:rPr>
      </w:pPr>
      <w:r w:rsidRPr="00F81921">
        <w:rPr>
          <w:rFonts w:ascii="Arial" w:hAnsi="Arial" w:cs="Arial"/>
          <w:color w:val="auto"/>
          <w:sz w:val="24"/>
          <w:szCs w:val="24"/>
        </w:rPr>
        <w:t>Políticas específicas</w:t>
      </w:r>
    </w:p>
    <w:p w:rsidR="00F81921" w:rsidRPr="00F81921" w:rsidRDefault="00F81921" w:rsidP="00F81921">
      <w:pPr>
        <w:spacing w:before="120" w:after="120"/>
        <w:ind w:left="288"/>
        <w:jc w:val="both"/>
        <w:rPr>
          <w:rFonts w:ascii="Arial" w:hAnsi="Arial" w:cs="Arial"/>
        </w:rPr>
      </w:pPr>
      <w:r w:rsidRPr="00F81921">
        <w:rPr>
          <w:rFonts w:ascii="Arial" w:hAnsi="Arial" w:cs="Arial"/>
          <w:b/>
        </w:rPr>
        <w:t>1.1 Determinando cuando un proyecto p</w:t>
      </w:r>
      <w:r w:rsidR="008B70CC">
        <w:rPr>
          <w:rFonts w:ascii="Arial" w:hAnsi="Arial" w:cs="Arial"/>
          <w:b/>
        </w:rPr>
        <w:t>uede</w:t>
      </w:r>
      <w:r w:rsidRPr="00F81921">
        <w:rPr>
          <w:rFonts w:ascii="Arial" w:hAnsi="Arial" w:cs="Arial"/>
          <w:b/>
        </w:rPr>
        <w:t xml:space="preserve"> ser cerrado</w:t>
      </w:r>
    </w:p>
    <w:p w:rsidR="00F81921" w:rsidRPr="00F81921" w:rsidRDefault="00F81921" w:rsidP="00F81921">
      <w:pPr>
        <w:pStyle w:val="List-Level3"/>
        <w:jc w:val="both"/>
        <w:rPr>
          <w:szCs w:val="24"/>
          <w:lang w:val="es-ES"/>
        </w:rPr>
      </w:pPr>
      <w:r w:rsidRPr="00F81921">
        <w:rPr>
          <w:szCs w:val="24"/>
          <w:lang w:val="es-ES"/>
        </w:rPr>
        <w:t xml:space="preserve">1.1.1 Protocolos apoyados/patrocinados: </w:t>
      </w:r>
      <w:r w:rsidRPr="00F81921">
        <w:rPr>
          <w:bCs/>
          <w:szCs w:val="24"/>
          <w:lang w:val="es-ES" w:eastAsia="es-ES"/>
        </w:rPr>
        <w:t>Cuando los datos de identificación de seguimiento ya no están siendo recolectados en los individuos enlistados en el protocolo apoyado/patrocinado</w:t>
      </w:r>
      <w:r w:rsidR="007223BE">
        <w:rPr>
          <w:bCs/>
          <w:szCs w:val="24"/>
          <w:lang w:val="es-ES" w:eastAsia="es-ES"/>
        </w:rPr>
        <w:t>,</w:t>
      </w:r>
      <w:r w:rsidRPr="00F81921">
        <w:rPr>
          <w:bCs/>
          <w:szCs w:val="24"/>
          <w:lang w:val="es-ES" w:eastAsia="es-ES"/>
        </w:rPr>
        <w:t xml:space="preserve"> y el análisis que podría indicar nuevos datos esta completo, el estudio puede ser concluido</w:t>
      </w:r>
    </w:p>
    <w:p w:rsidR="00F81921" w:rsidRDefault="00F81921" w:rsidP="00F81921">
      <w:pPr>
        <w:pStyle w:val="List-Level3"/>
        <w:jc w:val="both"/>
        <w:rPr>
          <w:szCs w:val="24"/>
          <w:lang w:val="es-ES"/>
        </w:rPr>
      </w:pPr>
      <w:r w:rsidRPr="00F81921">
        <w:rPr>
          <w:szCs w:val="24"/>
          <w:lang w:val="es-ES"/>
        </w:rPr>
        <w:t>1.1.2 Estudios</w:t>
      </w:r>
      <w:r w:rsidR="007223BE">
        <w:rPr>
          <w:szCs w:val="24"/>
          <w:lang w:val="es-ES"/>
        </w:rPr>
        <w:t xml:space="preserve"> de sitios múltiples</w:t>
      </w:r>
      <w:r w:rsidRPr="00F81921">
        <w:rPr>
          <w:szCs w:val="24"/>
          <w:lang w:val="es-ES"/>
        </w:rPr>
        <w:t>, apoyados por la industria pueden ser cerrados cuando el investigador som</w:t>
      </w:r>
      <w:r w:rsidR="008F1AEA">
        <w:rPr>
          <w:szCs w:val="24"/>
          <w:lang w:val="es-ES"/>
        </w:rPr>
        <w:t>ete su reporte</w:t>
      </w:r>
      <w:r w:rsidRPr="00F81921">
        <w:rPr>
          <w:szCs w:val="24"/>
          <w:lang w:val="es-ES"/>
        </w:rPr>
        <w:t xml:space="preserve"> final.</w:t>
      </w:r>
    </w:p>
    <w:p w:rsidR="004F02D5" w:rsidRDefault="007223BE" w:rsidP="00F81921">
      <w:pPr>
        <w:pStyle w:val="List-Level3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1.1.3. Cuando el </w:t>
      </w:r>
      <w:r w:rsidR="00A8072F">
        <w:rPr>
          <w:szCs w:val="24"/>
          <w:lang w:val="es-ES"/>
        </w:rPr>
        <w:t>CEI</w:t>
      </w:r>
      <w:r w:rsidR="004F02D5">
        <w:rPr>
          <w:szCs w:val="24"/>
          <w:lang w:val="es-ES"/>
        </w:rPr>
        <w:t xml:space="preserve"> determine que el riesgo de los pacientes esta por arriba del mínimo y que requiere de una revaloración por el </w:t>
      </w:r>
      <w:r w:rsidR="00A8072F">
        <w:rPr>
          <w:szCs w:val="24"/>
          <w:lang w:val="es-ES"/>
        </w:rPr>
        <w:t>CEI</w:t>
      </w:r>
      <w:r w:rsidR="004F02D5">
        <w:rPr>
          <w:szCs w:val="24"/>
          <w:lang w:val="es-ES"/>
        </w:rPr>
        <w:t>.</w:t>
      </w:r>
    </w:p>
    <w:p w:rsidR="004F02D5" w:rsidRDefault="004F02D5" w:rsidP="00F81921">
      <w:pPr>
        <w:pStyle w:val="List-Level3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1.1.4. El </w:t>
      </w:r>
      <w:r w:rsidR="00A8072F">
        <w:rPr>
          <w:szCs w:val="24"/>
          <w:lang w:val="es-ES"/>
        </w:rPr>
        <w:t>CEI</w:t>
      </w:r>
      <w:r>
        <w:rPr>
          <w:szCs w:val="24"/>
          <w:lang w:val="es-ES"/>
        </w:rPr>
        <w:t xml:space="preserve"> podrá cerrar</w:t>
      </w:r>
      <w:r w:rsidR="000055FF">
        <w:rPr>
          <w:szCs w:val="24"/>
          <w:lang w:val="es-ES"/>
        </w:rPr>
        <w:t xml:space="preserve"> o suspender</w:t>
      </w:r>
      <w:r>
        <w:rPr>
          <w:szCs w:val="24"/>
          <w:lang w:val="es-ES"/>
        </w:rPr>
        <w:t xml:space="preserve"> el estudio en caso de una falta grave al protocolo que ponga en riesgo el bienestar y seguridad de los sujetos</w:t>
      </w:r>
      <w:r w:rsidR="00BB22BE">
        <w:rPr>
          <w:szCs w:val="24"/>
          <w:lang w:val="es-ES"/>
        </w:rPr>
        <w:t xml:space="preserve">, además podrá suspenderlo o cerrarlo en caso de eventos </w:t>
      </w:r>
      <w:r w:rsidR="007223BE">
        <w:rPr>
          <w:szCs w:val="24"/>
          <w:lang w:val="es-ES"/>
        </w:rPr>
        <w:t xml:space="preserve">serios </w:t>
      </w:r>
      <w:r w:rsidR="00BB22BE">
        <w:rPr>
          <w:szCs w:val="24"/>
          <w:lang w:val="es-ES"/>
        </w:rPr>
        <w:t>no esperados.</w:t>
      </w:r>
    </w:p>
    <w:p w:rsidR="00FF7644" w:rsidRDefault="007223BE" w:rsidP="00F81921">
      <w:pPr>
        <w:pStyle w:val="List-Level3"/>
        <w:jc w:val="both"/>
        <w:rPr>
          <w:szCs w:val="24"/>
          <w:lang w:val="es-ES"/>
        </w:rPr>
      </w:pPr>
      <w:r>
        <w:rPr>
          <w:szCs w:val="24"/>
          <w:lang w:val="es-ES"/>
        </w:rPr>
        <w:lastRenderedPageBreak/>
        <w:t xml:space="preserve">1.1.5. El </w:t>
      </w:r>
      <w:r w:rsidR="00A8072F">
        <w:rPr>
          <w:szCs w:val="24"/>
          <w:lang w:val="es-ES"/>
        </w:rPr>
        <w:t>CEI</w:t>
      </w:r>
      <w:r w:rsidR="00FF7644">
        <w:rPr>
          <w:szCs w:val="24"/>
          <w:lang w:val="es-ES"/>
        </w:rPr>
        <w:t xml:space="preserve"> podrá colocar el estudio en una suspensión administrativa en el caso </w:t>
      </w:r>
      <w:r>
        <w:rPr>
          <w:szCs w:val="24"/>
          <w:lang w:val="es-ES"/>
        </w:rPr>
        <w:t xml:space="preserve">de </w:t>
      </w:r>
      <w:r w:rsidR="00FF7644">
        <w:rPr>
          <w:szCs w:val="24"/>
          <w:lang w:val="es-ES"/>
        </w:rPr>
        <w:t>que se requier</w:t>
      </w:r>
      <w:r>
        <w:rPr>
          <w:szCs w:val="24"/>
          <w:lang w:val="es-ES"/>
        </w:rPr>
        <w:t>a</w:t>
      </w:r>
      <w:r w:rsidR="00FF7644">
        <w:rPr>
          <w:szCs w:val="24"/>
          <w:lang w:val="es-ES"/>
        </w:rPr>
        <w:t xml:space="preserve"> investigar una acción o posible violación  en relación a un protocolo de investigación, en tal caso se suspenderá el reclutamiento de pacientes.</w:t>
      </w:r>
      <w:r>
        <w:rPr>
          <w:szCs w:val="24"/>
          <w:lang w:val="es-ES"/>
        </w:rPr>
        <w:t xml:space="preserve"> Esta s</w:t>
      </w:r>
      <w:r w:rsidR="00432DEE">
        <w:rPr>
          <w:szCs w:val="24"/>
          <w:lang w:val="es-ES"/>
        </w:rPr>
        <w:t xml:space="preserve">uspensión administrativa </w:t>
      </w:r>
      <w:r w:rsidR="00FA500E">
        <w:rPr>
          <w:szCs w:val="24"/>
          <w:lang w:val="es-ES"/>
        </w:rPr>
        <w:t>no exenta de la renovación del estudio</w:t>
      </w:r>
      <w:r>
        <w:rPr>
          <w:szCs w:val="24"/>
          <w:lang w:val="es-ES"/>
        </w:rPr>
        <w:t>,</w:t>
      </w:r>
      <w:r w:rsidR="00FA500E">
        <w:rPr>
          <w:szCs w:val="24"/>
          <w:lang w:val="es-ES"/>
        </w:rPr>
        <w:t xml:space="preserve"> o en su caso no podrá ser usada como extensión de la aprobación del estudio.</w:t>
      </w:r>
    </w:p>
    <w:p w:rsidR="00FF7644" w:rsidRPr="00F81921" w:rsidRDefault="00FF7644" w:rsidP="00F81921">
      <w:pPr>
        <w:pStyle w:val="List-Level3"/>
        <w:jc w:val="both"/>
        <w:rPr>
          <w:szCs w:val="24"/>
          <w:lang w:val="es-ES"/>
        </w:rPr>
      </w:pPr>
    </w:p>
    <w:p w:rsidR="00F81921" w:rsidRPr="00F81921" w:rsidRDefault="00F81921" w:rsidP="00F81921">
      <w:pPr>
        <w:spacing w:before="120" w:after="120"/>
        <w:ind w:left="288"/>
        <w:jc w:val="both"/>
        <w:rPr>
          <w:rFonts w:ascii="Arial" w:hAnsi="Arial" w:cs="Arial"/>
        </w:rPr>
      </w:pPr>
      <w:r w:rsidRPr="00F81921">
        <w:rPr>
          <w:rFonts w:ascii="Arial" w:hAnsi="Arial" w:cs="Arial"/>
          <w:b/>
        </w:rPr>
        <w:t xml:space="preserve">1.2 </w:t>
      </w:r>
      <w:r w:rsidR="008F1AEA">
        <w:rPr>
          <w:rFonts w:ascii="Arial" w:hAnsi="Arial" w:cs="Arial"/>
          <w:b/>
        </w:rPr>
        <w:t>Reporte</w:t>
      </w:r>
      <w:r w:rsidRPr="00F81921">
        <w:rPr>
          <w:rFonts w:ascii="Arial" w:hAnsi="Arial" w:cs="Arial"/>
          <w:b/>
        </w:rPr>
        <w:t xml:space="preserve"> de Conclusión</w:t>
      </w:r>
    </w:p>
    <w:p w:rsidR="00F81921" w:rsidRPr="00F81921" w:rsidRDefault="00F81921" w:rsidP="00F81921">
      <w:pPr>
        <w:pStyle w:val="level2bodystyle"/>
        <w:jc w:val="both"/>
        <w:rPr>
          <w:sz w:val="24"/>
          <w:szCs w:val="24"/>
          <w:lang w:val="es-ES"/>
        </w:rPr>
      </w:pPr>
      <w:r w:rsidRPr="00F81921">
        <w:rPr>
          <w:sz w:val="24"/>
          <w:szCs w:val="24"/>
          <w:lang w:val="es-ES"/>
        </w:rPr>
        <w:t xml:space="preserve">Los </w:t>
      </w:r>
      <w:r w:rsidR="008F1AEA">
        <w:rPr>
          <w:sz w:val="24"/>
          <w:szCs w:val="24"/>
          <w:lang w:val="es-ES"/>
        </w:rPr>
        <w:t>reportes</w:t>
      </w:r>
      <w:r w:rsidRPr="00F81921">
        <w:rPr>
          <w:sz w:val="24"/>
          <w:szCs w:val="24"/>
          <w:lang w:val="es-ES"/>
        </w:rPr>
        <w:t xml:space="preserve"> de la terminación se deben someter en un plazo de 30 días </w:t>
      </w:r>
      <w:r w:rsidR="008B70CC">
        <w:rPr>
          <w:sz w:val="24"/>
          <w:szCs w:val="24"/>
          <w:lang w:val="es-ES"/>
        </w:rPr>
        <w:t>naturales</w:t>
      </w:r>
      <w:r w:rsidR="004F02D5">
        <w:rPr>
          <w:sz w:val="24"/>
          <w:szCs w:val="24"/>
          <w:lang w:val="es-ES"/>
        </w:rPr>
        <w:t xml:space="preserve"> </w:t>
      </w:r>
      <w:r w:rsidRPr="00F81921">
        <w:rPr>
          <w:sz w:val="24"/>
          <w:szCs w:val="24"/>
          <w:lang w:val="es-ES"/>
        </w:rPr>
        <w:t xml:space="preserve">después de la conclusión o de la terminación del estudio. Los </w:t>
      </w:r>
      <w:r w:rsidR="008F1AEA">
        <w:rPr>
          <w:sz w:val="24"/>
          <w:szCs w:val="24"/>
          <w:lang w:val="es-ES"/>
        </w:rPr>
        <w:t>reportes</w:t>
      </w:r>
      <w:r w:rsidRPr="00F81921">
        <w:rPr>
          <w:sz w:val="24"/>
          <w:szCs w:val="24"/>
          <w:lang w:val="es-ES"/>
        </w:rPr>
        <w:t xml:space="preserve"> de la conclusión se pueden someter en cualquier formato que proporcione la información adecuada sobre el estado del estudio. Los </w:t>
      </w:r>
      <w:r w:rsidR="008F1AEA">
        <w:rPr>
          <w:sz w:val="24"/>
          <w:szCs w:val="24"/>
          <w:lang w:val="es-ES"/>
        </w:rPr>
        <w:t>reporte</w:t>
      </w:r>
      <w:r w:rsidRPr="00F81921">
        <w:rPr>
          <w:sz w:val="24"/>
          <w:szCs w:val="24"/>
          <w:lang w:val="es-ES"/>
        </w:rPr>
        <w:t xml:space="preserve">s de conclusión se pueden someter por el designado del investigador en el sitio de la investigación.  El Presidente del </w:t>
      </w:r>
      <w:r w:rsidR="00A8072F">
        <w:rPr>
          <w:sz w:val="24"/>
          <w:szCs w:val="24"/>
          <w:lang w:val="es-ES"/>
        </w:rPr>
        <w:t>CEI</w:t>
      </w:r>
      <w:r w:rsidRPr="00F81921">
        <w:rPr>
          <w:sz w:val="24"/>
          <w:szCs w:val="24"/>
          <w:lang w:val="es-ES"/>
        </w:rPr>
        <w:t xml:space="preserve">  re</w:t>
      </w:r>
      <w:r w:rsidR="008B70CC">
        <w:rPr>
          <w:sz w:val="24"/>
          <w:szCs w:val="24"/>
          <w:lang w:val="es-ES"/>
        </w:rPr>
        <w:t>vi</w:t>
      </w:r>
      <w:r w:rsidRPr="00F81921">
        <w:rPr>
          <w:sz w:val="24"/>
          <w:szCs w:val="24"/>
          <w:lang w:val="es-ES"/>
        </w:rPr>
        <w:t xml:space="preserve">sará todos los </w:t>
      </w:r>
      <w:r w:rsidR="008B70CC">
        <w:rPr>
          <w:sz w:val="24"/>
          <w:szCs w:val="24"/>
          <w:lang w:val="es-ES"/>
        </w:rPr>
        <w:t>reportes de</w:t>
      </w:r>
      <w:r w:rsidRPr="00F81921">
        <w:rPr>
          <w:sz w:val="24"/>
          <w:szCs w:val="24"/>
          <w:lang w:val="es-ES"/>
        </w:rPr>
        <w:t xml:space="preserve"> terminación d</w:t>
      </w:r>
      <w:r w:rsidR="008F1AEA">
        <w:rPr>
          <w:sz w:val="24"/>
          <w:szCs w:val="24"/>
          <w:lang w:val="es-ES"/>
        </w:rPr>
        <w:t xml:space="preserve">el estudio y </w:t>
      </w:r>
      <w:r w:rsidRPr="00F81921">
        <w:rPr>
          <w:sz w:val="24"/>
          <w:szCs w:val="24"/>
          <w:lang w:val="es-ES"/>
        </w:rPr>
        <w:t>si es necesario solicita</w:t>
      </w:r>
      <w:r w:rsidR="008B70CC">
        <w:rPr>
          <w:sz w:val="24"/>
          <w:szCs w:val="24"/>
          <w:lang w:val="es-ES"/>
        </w:rPr>
        <w:t>rá</w:t>
      </w:r>
      <w:r w:rsidRPr="00F81921">
        <w:rPr>
          <w:sz w:val="24"/>
          <w:szCs w:val="24"/>
          <w:lang w:val="es-ES"/>
        </w:rPr>
        <w:t xml:space="preserve"> información adicional del investigador para aclarar cualquier pregunta  que pueda presentarse.</w:t>
      </w:r>
    </w:p>
    <w:p w:rsidR="00F81921" w:rsidRDefault="00F81921" w:rsidP="00F81921">
      <w:pPr>
        <w:pStyle w:val="level2bodystyle"/>
        <w:jc w:val="both"/>
        <w:rPr>
          <w:sz w:val="24"/>
          <w:szCs w:val="24"/>
          <w:lang w:val="es-ES"/>
        </w:rPr>
      </w:pPr>
      <w:r w:rsidRPr="00F81921">
        <w:rPr>
          <w:sz w:val="24"/>
          <w:szCs w:val="24"/>
          <w:lang w:val="es-ES"/>
        </w:rPr>
        <w:t xml:space="preserve">Un listado de estudios cerrados será presentado al </w:t>
      </w:r>
      <w:r w:rsidR="00A8072F">
        <w:rPr>
          <w:sz w:val="24"/>
          <w:szCs w:val="24"/>
          <w:lang w:val="es-ES"/>
        </w:rPr>
        <w:t>CEI</w:t>
      </w:r>
      <w:r w:rsidRPr="00F81921">
        <w:rPr>
          <w:sz w:val="24"/>
          <w:szCs w:val="24"/>
          <w:lang w:val="es-ES"/>
        </w:rPr>
        <w:t xml:space="preserve">, Investigación en la siguiente junta, y las copias del </w:t>
      </w:r>
      <w:r w:rsidR="008F1AEA">
        <w:rPr>
          <w:sz w:val="24"/>
          <w:szCs w:val="24"/>
          <w:lang w:val="es-ES"/>
        </w:rPr>
        <w:t>reporte d</w:t>
      </w:r>
      <w:r w:rsidRPr="00F81921">
        <w:rPr>
          <w:sz w:val="24"/>
          <w:szCs w:val="24"/>
          <w:lang w:val="es-ES"/>
        </w:rPr>
        <w:t xml:space="preserve">e </w:t>
      </w:r>
      <w:r w:rsidR="008B70CC">
        <w:rPr>
          <w:sz w:val="24"/>
          <w:szCs w:val="24"/>
          <w:lang w:val="es-ES"/>
        </w:rPr>
        <w:t>terminac</w:t>
      </w:r>
      <w:r w:rsidRPr="00F81921">
        <w:rPr>
          <w:sz w:val="24"/>
          <w:szCs w:val="24"/>
          <w:lang w:val="es-ES"/>
        </w:rPr>
        <w:t>ión y la información complementaria se pon</w:t>
      </w:r>
      <w:r w:rsidR="008B70CC">
        <w:rPr>
          <w:sz w:val="24"/>
          <w:szCs w:val="24"/>
          <w:lang w:val="es-ES"/>
        </w:rPr>
        <w:t>drán</w:t>
      </w:r>
      <w:r w:rsidRPr="00F81921">
        <w:rPr>
          <w:sz w:val="24"/>
          <w:szCs w:val="24"/>
          <w:lang w:val="es-ES"/>
        </w:rPr>
        <w:t xml:space="preserve"> a disposición de los miembros del </w:t>
      </w:r>
      <w:r w:rsidR="00A8072F">
        <w:rPr>
          <w:sz w:val="24"/>
          <w:szCs w:val="24"/>
          <w:lang w:val="es-ES"/>
        </w:rPr>
        <w:t>CEI</w:t>
      </w:r>
      <w:r w:rsidRPr="00F81921">
        <w:rPr>
          <w:sz w:val="24"/>
          <w:szCs w:val="24"/>
          <w:lang w:val="es-ES"/>
        </w:rPr>
        <w:t xml:space="preserve"> </w:t>
      </w:r>
      <w:r w:rsidR="008B70CC">
        <w:rPr>
          <w:sz w:val="24"/>
          <w:szCs w:val="24"/>
          <w:lang w:val="es-ES"/>
        </w:rPr>
        <w:t>según se requiera</w:t>
      </w:r>
      <w:r w:rsidRPr="00F81921">
        <w:rPr>
          <w:sz w:val="24"/>
          <w:szCs w:val="24"/>
          <w:lang w:val="es-ES"/>
        </w:rPr>
        <w:t>.</w:t>
      </w:r>
    </w:p>
    <w:p w:rsidR="00484716" w:rsidRDefault="00484716" w:rsidP="00F81921">
      <w:pPr>
        <w:pStyle w:val="level2bodystyle"/>
        <w:jc w:val="both"/>
        <w:rPr>
          <w:sz w:val="24"/>
          <w:szCs w:val="24"/>
          <w:lang w:val="es-ES"/>
        </w:rPr>
      </w:pPr>
    </w:p>
    <w:p w:rsidR="00484716" w:rsidRDefault="00484716" w:rsidP="00B14859">
      <w:pPr>
        <w:pStyle w:val="level2bodystyle"/>
        <w:ind w:left="0"/>
        <w:jc w:val="both"/>
        <w:rPr>
          <w:b/>
          <w:sz w:val="24"/>
          <w:szCs w:val="24"/>
          <w:lang w:val="es-ES"/>
        </w:rPr>
      </w:pPr>
      <w:r w:rsidRPr="00B14859">
        <w:rPr>
          <w:b/>
          <w:sz w:val="24"/>
          <w:szCs w:val="24"/>
          <w:lang w:val="es-ES"/>
        </w:rPr>
        <w:t>1.3 Definiciones:</w:t>
      </w:r>
    </w:p>
    <w:p w:rsidR="00E64B53" w:rsidRDefault="00E64B53" w:rsidP="00B14859">
      <w:pPr>
        <w:pStyle w:val="level2bodystyle"/>
        <w:numPr>
          <w:ilvl w:val="0"/>
          <w:numId w:val="16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Suspensión</w:t>
      </w:r>
      <w:r w:rsidR="00994B00">
        <w:rPr>
          <w:sz w:val="24"/>
          <w:szCs w:val="24"/>
          <w:lang w:val="es-ES"/>
        </w:rPr>
        <w:t xml:space="preserve">: </w:t>
      </w:r>
      <w:r w:rsidR="008F1AEA">
        <w:rPr>
          <w:sz w:val="24"/>
          <w:szCs w:val="24"/>
          <w:lang w:val="es-ES"/>
        </w:rPr>
        <w:t xml:space="preserve">Cuando el </w:t>
      </w:r>
      <w:r w:rsidR="00A8072F">
        <w:rPr>
          <w:sz w:val="24"/>
          <w:szCs w:val="24"/>
          <w:lang w:val="es-ES"/>
        </w:rPr>
        <w:t>CEI</w:t>
      </w:r>
      <w:r w:rsidR="00DA4558">
        <w:rPr>
          <w:sz w:val="24"/>
          <w:szCs w:val="24"/>
          <w:lang w:val="es-ES"/>
        </w:rPr>
        <w:t xml:space="preserve"> considera que el reclutamiento y en enrolamiento </w:t>
      </w:r>
      <w:r w:rsidR="008B70CC">
        <w:rPr>
          <w:sz w:val="24"/>
          <w:szCs w:val="24"/>
          <w:lang w:val="es-ES"/>
        </w:rPr>
        <w:t>debe de ser</w:t>
      </w:r>
      <w:r w:rsidR="008F1AEA">
        <w:rPr>
          <w:sz w:val="24"/>
          <w:szCs w:val="24"/>
          <w:lang w:val="es-ES"/>
        </w:rPr>
        <w:t xml:space="preserve"> detenido por decisión del </w:t>
      </w:r>
      <w:r w:rsidR="00A8072F">
        <w:rPr>
          <w:sz w:val="24"/>
          <w:szCs w:val="24"/>
          <w:lang w:val="es-ES"/>
        </w:rPr>
        <w:t>CEI</w:t>
      </w:r>
      <w:r w:rsidR="00DA4558">
        <w:rPr>
          <w:sz w:val="24"/>
          <w:szCs w:val="24"/>
          <w:lang w:val="es-ES"/>
        </w:rPr>
        <w:t xml:space="preserve"> y que tiene el potencial de activarse nuevamente.</w:t>
      </w:r>
    </w:p>
    <w:p w:rsidR="00E64B53" w:rsidRPr="008F1AEA" w:rsidRDefault="00E64B53" w:rsidP="008F1AEA">
      <w:pPr>
        <w:pStyle w:val="level2bodystyle"/>
        <w:numPr>
          <w:ilvl w:val="0"/>
          <w:numId w:val="16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Cierre</w:t>
      </w:r>
      <w:r w:rsidR="00994B00">
        <w:rPr>
          <w:sz w:val="24"/>
          <w:szCs w:val="24"/>
          <w:lang w:val="es-ES"/>
        </w:rPr>
        <w:t xml:space="preserve">: </w:t>
      </w:r>
      <w:r w:rsidR="00DA4558" w:rsidRPr="008B70CC">
        <w:rPr>
          <w:rFonts w:eastAsiaTheme="minorHAnsi"/>
          <w:sz w:val="24"/>
          <w:szCs w:val="24"/>
          <w:lang w:val="es-MX"/>
        </w:rPr>
        <w:t>Un protocolo</w:t>
      </w:r>
      <w:r w:rsidR="008B70CC">
        <w:rPr>
          <w:rFonts w:eastAsiaTheme="minorHAnsi"/>
          <w:sz w:val="24"/>
          <w:szCs w:val="24"/>
          <w:lang w:val="es-MX"/>
        </w:rPr>
        <w:t xml:space="preserve"> </w:t>
      </w:r>
      <w:r w:rsidR="00DA4558" w:rsidRPr="008B70CC">
        <w:rPr>
          <w:rFonts w:eastAsiaTheme="minorHAnsi"/>
          <w:sz w:val="24"/>
          <w:szCs w:val="24"/>
          <w:lang w:val="es-MX"/>
        </w:rPr>
        <w:t>es</w:t>
      </w:r>
      <w:r w:rsidR="008B70CC">
        <w:rPr>
          <w:rFonts w:eastAsiaTheme="minorHAnsi"/>
          <w:sz w:val="24"/>
          <w:szCs w:val="24"/>
          <w:lang w:val="es-MX"/>
        </w:rPr>
        <w:t xml:space="preserve"> </w:t>
      </w:r>
      <w:r w:rsidR="00DA4558" w:rsidRPr="008B70CC">
        <w:rPr>
          <w:rFonts w:eastAsiaTheme="minorHAnsi"/>
          <w:sz w:val="24"/>
          <w:szCs w:val="24"/>
          <w:lang w:val="es-MX"/>
        </w:rPr>
        <w:t>cerrado</w:t>
      </w:r>
      <w:r w:rsidR="008B70CC">
        <w:rPr>
          <w:rFonts w:eastAsiaTheme="minorHAnsi"/>
          <w:sz w:val="24"/>
          <w:szCs w:val="24"/>
          <w:lang w:val="es-MX"/>
        </w:rPr>
        <w:t xml:space="preserve"> </w:t>
      </w:r>
      <w:r w:rsidR="00DA4558" w:rsidRPr="008B70CC">
        <w:rPr>
          <w:rFonts w:eastAsiaTheme="minorHAnsi"/>
          <w:sz w:val="24"/>
          <w:szCs w:val="24"/>
          <w:lang w:val="es-MX"/>
        </w:rPr>
        <w:t xml:space="preserve">cuando el investigador </w:t>
      </w:r>
      <w:r w:rsidR="008B70CC" w:rsidRPr="008B70CC">
        <w:rPr>
          <w:rFonts w:eastAsiaTheme="minorHAnsi"/>
          <w:sz w:val="24"/>
          <w:szCs w:val="24"/>
          <w:lang w:val="es-MX"/>
        </w:rPr>
        <w:t xml:space="preserve">principal </w:t>
      </w:r>
      <w:r w:rsidR="00DA4558" w:rsidRPr="008B70CC">
        <w:rPr>
          <w:rFonts w:eastAsiaTheme="minorHAnsi"/>
          <w:sz w:val="24"/>
          <w:szCs w:val="24"/>
          <w:lang w:val="es-MX"/>
        </w:rPr>
        <w:t>determina</w:t>
      </w:r>
      <w:r w:rsidR="008B70CC">
        <w:rPr>
          <w:rFonts w:eastAsiaTheme="minorHAnsi"/>
          <w:sz w:val="24"/>
          <w:szCs w:val="24"/>
          <w:lang w:val="es-MX"/>
        </w:rPr>
        <w:t xml:space="preserve"> </w:t>
      </w:r>
      <w:r w:rsidR="00DA4558" w:rsidRPr="008B70CC">
        <w:rPr>
          <w:rFonts w:eastAsiaTheme="minorHAnsi"/>
          <w:sz w:val="24"/>
          <w:szCs w:val="24"/>
          <w:lang w:val="es-MX"/>
        </w:rPr>
        <w:t>que</w:t>
      </w:r>
      <w:r w:rsidR="008B70CC">
        <w:rPr>
          <w:rFonts w:eastAsiaTheme="minorHAnsi"/>
          <w:sz w:val="24"/>
          <w:szCs w:val="24"/>
          <w:lang w:val="es-MX"/>
        </w:rPr>
        <w:t xml:space="preserve"> </w:t>
      </w:r>
      <w:r w:rsidR="008B70CC" w:rsidRPr="008B70CC">
        <w:rPr>
          <w:rFonts w:eastAsiaTheme="minorHAnsi"/>
          <w:sz w:val="24"/>
          <w:szCs w:val="24"/>
          <w:lang w:val="es-MX"/>
        </w:rPr>
        <w:t xml:space="preserve">el estudio </w:t>
      </w:r>
      <w:r w:rsidR="00DA4558" w:rsidRPr="008B70CC">
        <w:rPr>
          <w:rFonts w:eastAsiaTheme="minorHAnsi"/>
          <w:sz w:val="24"/>
          <w:szCs w:val="24"/>
          <w:lang w:val="es-MX"/>
        </w:rPr>
        <w:t>no cumple con la definición de "investigación</w:t>
      </w:r>
      <w:r w:rsidR="008B70CC">
        <w:rPr>
          <w:rFonts w:eastAsiaTheme="minorHAnsi"/>
          <w:sz w:val="24"/>
          <w:szCs w:val="24"/>
          <w:lang w:val="es-MX"/>
        </w:rPr>
        <w:t xml:space="preserve"> de </w:t>
      </w:r>
      <w:r w:rsidR="00DA4558" w:rsidRPr="008B70CC">
        <w:rPr>
          <w:rFonts w:eastAsiaTheme="minorHAnsi"/>
          <w:sz w:val="24"/>
          <w:szCs w:val="24"/>
          <w:lang w:val="es-MX"/>
        </w:rPr>
        <w:t>participante</w:t>
      </w:r>
      <w:r w:rsidR="000D53D9">
        <w:rPr>
          <w:rFonts w:eastAsiaTheme="minorHAnsi"/>
          <w:sz w:val="24"/>
          <w:szCs w:val="24"/>
          <w:lang w:val="es-MX"/>
        </w:rPr>
        <w:t xml:space="preserve"> </w:t>
      </w:r>
      <w:r w:rsidR="00DA4558" w:rsidRPr="008B70CC">
        <w:rPr>
          <w:rFonts w:eastAsiaTheme="minorHAnsi"/>
          <w:sz w:val="24"/>
          <w:szCs w:val="24"/>
          <w:lang w:val="es-MX"/>
        </w:rPr>
        <w:t>humano" y envía un form</w:t>
      </w:r>
      <w:r w:rsidR="000D53D9">
        <w:rPr>
          <w:rFonts w:eastAsiaTheme="minorHAnsi"/>
          <w:sz w:val="24"/>
          <w:szCs w:val="24"/>
          <w:lang w:val="es-MX"/>
        </w:rPr>
        <w:t>ato</w:t>
      </w:r>
      <w:r w:rsidR="00DA4558" w:rsidRPr="008B70CC">
        <w:rPr>
          <w:rFonts w:eastAsiaTheme="minorHAnsi"/>
          <w:sz w:val="24"/>
          <w:szCs w:val="24"/>
          <w:lang w:val="es-MX"/>
        </w:rPr>
        <w:t xml:space="preserve"> de cierre a nuestro</w:t>
      </w:r>
      <w:r w:rsidR="008F1AEA">
        <w:rPr>
          <w:rFonts w:eastAsiaTheme="minorHAnsi"/>
          <w:sz w:val="24"/>
          <w:szCs w:val="24"/>
          <w:lang w:val="es-MX"/>
        </w:rPr>
        <w:t xml:space="preserve"> </w:t>
      </w:r>
      <w:r w:rsidR="00A8072F">
        <w:rPr>
          <w:rFonts w:eastAsiaTheme="minorHAnsi"/>
          <w:sz w:val="24"/>
          <w:szCs w:val="24"/>
          <w:lang w:val="es-MX"/>
        </w:rPr>
        <w:t>CEI</w:t>
      </w:r>
      <w:r w:rsidR="00DA4558" w:rsidRPr="008F1AEA">
        <w:rPr>
          <w:rFonts w:eastAsiaTheme="minorHAnsi"/>
          <w:sz w:val="24"/>
          <w:szCs w:val="24"/>
          <w:lang w:val="es-MX"/>
        </w:rPr>
        <w:t>.</w:t>
      </w:r>
    </w:p>
    <w:p w:rsidR="00E64B53" w:rsidRDefault="00E64B53" w:rsidP="00B14859">
      <w:pPr>
        <w:pStyle w:val="level2bodystyle"/>
        <w:numPr>
          <w:ilvl w:val="0"/>
          <w:numId w:val="16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Suspensión </w:t>
      </w:r>
      <w:r w:rsidR="000D53D9">
        <w:rPr>
          <w:sz w:val="24"/>
          <w:szCs w:val="24"/>
          <w:lang w:val="es-ES"/>
        </w:rPr>
        <w:t>A</w:t>
      </w:r>
      <w:r>
        <w:rPr>
          <w:sz w:val="24"/>
          <w:szCs w:val="24"/>
          <w:lang w:val="es-ES"/>
        </w:rPr>
        <w:t>dministrativa</w:t>
      </w:r>
      <w:r w:rsidR="002E121D">
        <w:rPr>
          <w:sz w:val="24"/>
          <w:szCs w:val="24"/>
          <w:lang w:val="es-ES"/>
        </w:rPr>
        <w:t xml:space="preserve">: Suspensión temporal </w:t>
      </w:r>
      <w:r w:rsidR="000D53D9">
        <w:rPr>
          <w:sz w:val="24"/>
          <w:szCs w:val="24"/>
          <w:lang w:val="es-ES"/>
        </w:rPr>
        <w:t xml:space="preserve">preventiva </w:t>
      </w:r>
      <w:r w:rsidR="002E121D">
        <w:rPr>
          <w:sz w:val="24"/>
          <w:szCs w:val="24"/>
          <w:lang w:val="es-ES"/>
        </w:rPr>
        <w:t>del estudio de investigación para determinar si</w:t>
      </w:r>
      <w:r w:rsidR="000D53D9">
        <w:rPr>
          <w:sz w:val="24"/>
          <w:szCs w:val="24"/>
          <w:lang w:val="es-ES"/>
        </w:rPr>
        <w:t xml:space="preserve"> el estudio cumple con el P</w:t>
      </w:r>
      <w:r w:rsidR="002E121D">
        <w:rPr>
          <w:sz w:val="24"/>
          <w:szCs w:val="24"/>
          <w:lang w:val="es-ES"/>
        </w:rPr>
        <w:t xml:space="preserve">rograma de Protección </w:t>
      </w:r>
      <w:r w:rsidR="000D53D9">
        <w:rPr>
          <w:sz w:val="24"/>
          <w:szCs w:val="24"/>
          <w:lang w:val="es-ES"/>
        </w:rPr>
        <w:t>de S</w:t>
      </w:r>
      <w:r w:rsidR="002E121D">
        <w:rPr>
          <w:sz w:val="24"/>
          <w:szCs w:val="24"/>
          <w:lang w:val="es-ES"/>
        </w:rPr>
        <w:t xml:space="preserve">ujetos en </w:t>
      </w:r>
      <w:r w:rsidR="00994B00">
        <w:rPr>
          <w:sz w:val="24"/>
          <w:szCs w:val="24"/>
          <w:lang w:val="es-ES"/>
        </w:rPr>
        <w:t>Investigación</w:t>
      </w:r>
      <w:r w:rsidR="002E121D">
        <w:rPr>
          <w:sz w:val="24"/>
          <w:szCs w:val="24"/>
          <w:lang w:val="es-ES"/>
        </w:rPr>
        <w:t>.</w:t>
      </w:r>
    </w:p>
    <w:p w:rsidR="005621CC" w:rsidRPr="008B70CC" w:rsidRDefault="00E64B53" w:rsidP="00B14859">
      <w:pPr>
        <w:pStyle w:val="level2bodystyle"/>
        <w:numPr>
          <w:ilvl w:val="0"/>
          <w:numId w:val="16"/>
        </w:numPr>
        <w:jc w:val="both"/>
        <w:rPr>
          <w:lang w:val="es-MX"/>
        </w:rPr>
      </w:pPr>
      <w:r>
        <w:rPr>
          <w:sz w:val="24"/>
          <w:szCs w:val="24"/>
          <w:lang w:val="es-ES"/>
        </w:rPr>
        <w:t>No cumplimiento</w:t>
      </w:r>
      <w:r w:rsidR="00173E3B">
        <w:rPr>
          <w:sz w:val="24"/>
          <w:szCs w:val="24"/>
          <w:lang w:val="es-ES"/>
        </w:rPr>
        <w:t>: Se refiere a la falla en el cumplimiento con las regulaciones legales</w:t>
      </w:r>
      <w:r w:rsidR="008F1AEA">
        <w:rPr>
          <w:sz w:val="24"/>
          <w:szCs w:val="24"/>
          <w:lang w:val="es-ES"/>
        </w:rPr>
        <w:t>;</w:t>
      </w:r>
      <w:r w:rsidR="00173E3B">
        <w:rPr>
          <w:sz w:val="24"/>
          <w:szCs w:val="24"/>
          <w:lang w:val="es-ES"/>
        </w:rPr>
        <w:t xml:space="preserve"> tanto locale</w:t>
      </w:r>
      <w:r w:rsidR="008F1AEA">
        <w:rPr>
          <w:sz w:val="24"/>
          <w:szCs w:val="24"/>
          <w:lang w:val="es-ES"/>
        </w:rPr>
        <w:t>s, nacionales e internacionales,</w:t>
      </w:r>
      <w:r w:rsidR="00173E3B">
        <w:rPr>
          <w:sz w:val="24"/>
          <w:szCs w:val="24"/>
          <w:lang w:val="es-ES"/>
        </w:rPr>
        <w:t xml:space="preserve"> as</w:t>
      </w:r>
      <w:r w:rsidR="000D53D9">
        <w:rPr>
          <w:sz w:val="24"/>
          <w:szCs w:val="24"/>
          <w:lang w:val="es-ES"/>
        </w:rPr>
        <w:t>í</w:t>
      </w:r>
      <w:r w:rsidR="00173E3B">
        <w:rPr>
          <w:sz w:val="24"/>
          <w:szCs w:val="24"/>
          <w:lang w:val="es-ES"/>
        </w:rPr>
        <w:t xml:space="preserve"> como de sus  políticas y procedimientos.</w:t>
      </w:r>
    </w:p>
    <w:p w:rsidR="00E64B53" w:rsidRPr="005621CC" w:rsidRDefault="008F1AEA" w:rsidP="00B14859">
      <w:pPr>
        <w:pStyle w:val="level2bodystyle"/>
        <w:numPr>
          <w:ilvl w:val="0"/>
          <w:numId w:val="16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In</w:t>
      </w:r>
      <w:r w:rsidR="00E64B53" w:rsidRPr="005621CC">
        <w:rPr>
          <w:sz w:val="24"/>
          <w:szCs w:val="24"/>
          <w:lang w:val="es-ES"/>
        </w:rPr>
        <w:t>cumplimiento serio</w:t>
      </w:r>
      <w:r w:rsidR="00173E3B" w:rsidRPr="005621CC">
        <w:rPr>
          <w:sz w:val="24"/>
          <w:szCs w:val="24"/>
          <w:lang w:val="es-ES"/>
        </w:rPr>
        <w:t xml:space="preserve">: </w:t>
      </w:r>
      <w:r w:rsidR="000D53D9">
        <w:rPr>
          <w:rFonts w:eastAsiaTheme="minorHAnsi"/>
          <w:sz w:val="24"/>
          <w:szCs w:val="24"/>
          <w:lang w:val="es-MX"/>
        </w:rPr>
        <w:t>E</w:t>
      </w:r>
      <w:r w:rsidR="005621CC" w:rsidRPr="008B70CC">
        <w:rPr>
          <w:rFonts w:eastAsiaTheme="minorHAnsi"/>
          <w:sz w:val="24"/>
          <w:szCs w:val="24"/>
          <w:lang w:val="es-MX"/>
        </w:rPr>
        <w:t>s un incumplimiento que afecta negativamente a los derechos y el bienestar de los participantes o que</w:t>
      </w:r>
      <w:r w:rsidR="000D53D9">
        <w:rPr>
          <w:rFonts w:eastAsiaTheme="minorHAnsi"/>
          <w:sz w:val="24"/>
          <w:szCs w:val="24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24"/>
          <w:lang w:val="es-MX"/>
        </w:rPr>
        <w:t>coloca a los participantes en mayor riesgo de daño.</w:t>
      </w:r>
    </w:p>
    <w:p w:rsidR="00E64B53" w:rsidRDefault="000D53D9" w:rsidP="00B14859">
      <w:pPr>
        <w:pStyle w:val="level2bodystyle"/>
        <w:numPr>
          <w:ilvl w:val="0"/>
          <w:numId w:val="16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</w:t>
      </w:r>
      <w:r w:rsidR="00E64B53">
        <w:rPr>
          <w:sz w:val="24"/>
          <w:szCs w:val="24"/>
          <w:lang w:val="es-ES"/>
        </w:rPr>
        <w:t>cumplimiento continuo</w:t>
      </w:r>
      <w:r w:rsidR="00173E3B">
        <w:rPr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E</w:t>
      </w:r>
      <w:r w:rsidR="005621CC" w:rsidRPr="008B70CC">
        <w:rPr>
          <w:rFonts w:eastAsiaTheme="minorHAnsi"/>
          <w:sz w:val="24"/>
          <w:szCs w:val="32"/>
          <w:lang w:val="es-MX"/>
        </w:rPr>
        <w:t>s un patrón de incumplimiento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que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indica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una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falta de voluntad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para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cumplir o la falta de conocimiento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que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puede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conducir a un efecto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adverso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sobre los derechos y el bienestar de los participantes</w:t>
      </w:r>
      <w:r w:rsidR="008F1AEA">
        <w:rPr>
          <w:rFonts w:eastAsiaTheme="minorHAnsi"/>
          <w:sz w:val="24"/>
          <w:szCs w:val="32"/>
          <w:lang w:val="es-MX"/>
        </w:rPr>
        <w:t>;</w:t>
      </w:r>
      <w:r w:rsidR="005621CC" w:rsidRPr="008B70CC">
        <w:rPr>
          <w:rFonts w:eastAsiaTheme="minorHAnsi"/>
          <w:sz w:val="24"/>
          <w:szCs w:val="32"/>
          <w:lang w:val="es-MX"/>
        </w:rPr>
        <w:t xml:space="preserve"> o puede</w:t>
      </w:r>
      <w:r>
        <w:rPr>
          <w:rFonts w:eastAsiaTheme="minorHAnsi"/>
          <w:sz w:val="24"/>
          <w:szCs w:val="32"/>
          <w:lang w:val="es-MX"/>
        </w:rPr>
        <w:t xml:space="preserve"> colocar a los participantes en</w:t>
      </w:r>
      <w:r w:rsidR="005621CC" w:rsidRPr="008B70CC">
        <w:rPr>
          <w:rFonts w:eastAsiaTheme="minorHAnsi"/>
          <w:sz w:val="24"/>
          <w:szCs w:val="32"/>
          <w:lang w:val="es-MX"/>
        </w:rPr>
        <w:t xml:space="preserve"> un mayor riesgo de daño. Ejemplos de la persistencia del incumplimiento son: casos </w:t>
      </w:r>
      <w:r w:rsidRPr="008B70CC">
        <w:rPr>
          <w:rFonts w:eastAsiaTheme="minorHAnsi"/>
          <w:sz w:val="24"/>
          <w:szCs w:val="32"/>
          <w:lang w:val="es-MX"/>
        </w:rPr>
        <w:t xml:space="preserve">repetidos </w:t>
      </w:r>
      <w:r w:rsidR="005621CC" w:rsidRPr="008B70CC">
        <w:rPr>
          <w:rFonts w:eastAsiaTheme="minorHAnsi"/>
          <w:sz w:val="24"/>
          <w:szCs w:val="32"/>
          <w:lang w:val="es-MX"/>
        </w:rPr>
        <w:t xml:space="preserve">de permitir </w:t>
      </w:r>
      <w:r>
        <w:rPr>
          <w:rFonts w:eastAsiaTheme="minorHAnsi"/>
          <w:sz w:val="24"/>
          <w:szCs w:val="32"/>
          <w:lang w:val="es-MX"/>
        </w:rPr>
        <w:t xml:space="preserve">que </w:t>
      </w:r>
      <w:r w:rsidR="005621CC" w:rsidRPr="008B70CC">
        <w:rPr>
          <w:rFonts w:eastAsiaTheme="minorHAnsi"/>
          <w:sz w:val="24"/>
          <w:szCs w:val="32"/>
          <w:lang w:val="es-MX"/>
        </w:rPr>
        <w:t>un estudio</w:t>
      </w:r>
      <w:r>
        <w:rPr>
          <w:rFonts w:eastAsiaTheme="minorHAnsi"/>
          <w:sz w:val="24"/>
          <w:szCs w:val="32"/>
          <w:lang w:val="es-MX"/>
        </w:rPr>
        <w:t xml:space="preserve"> continúe después de que vence su aprobación / o que no tenga la aprobación de renovació</w:t>
      </w:r>
      <w:r w:rsidR="005621CC" w:rsidRPr="008B70CC">
        <w:rPr>
          <w:rFonts w:eastAsiaTheme="minorHAnsi"/>
          <w:sz w:val="24"/>
          <w:szCs w:val="32"/>
          <w:lang w:val="es-MX"/>
        </w:rPr>
        <w:t xml:space="preserve">n, el </w:t>
      </w:r>
      <w:r>
        <w:rPr>
          <w:rFonts w:eastAsiaTheme="minorHAnsi"/>
          <w:sz w:val="24"/>
          <w:szCs w:val="32"/>
          <w:lang w:val="es-MX"/>
        </w:rPr>
        <w:t xml:space="preserve">continuo </w:t>
      </w:r>
      <w:r w:rsidR="005621CC" w:rsidRPr="008B70CC">
        <w:rPr>
          <w:rFonts w:eastAsiaTheme="minorHAnsi"/>
          <w:sz w:val="24"/>
          <w:szCs w:val="32"/>
          <w:lang w:val="es-MX"/>
        </w:rPr>
        <w:t>incumplimiento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de responder a las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preguntas de nuestro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A8072F">
        <w:rPr>
          <w:rFonts w:eastAsiaTheme="minorHAnsi"/>
          <w:sz w:val="24"/>
          <w:szCs w:val="32"/>
          <w:lang w:val="es-MX"/>
        </w:rPr>
        <w:t>CEI</w:t>
      </w:r>
      <w:r w:rsidR="005621CC" w:rsidRPr="008B70CC">
        <w:rPr>
          <w:rFonts w:eastAsiaTheme="minorHAnsi"/>
          <w:sz w:val="24"/>
          <w:szCs w:val="32"/>
          <w:lang w:val="es-MX"/>
        </w:rPr>
        <w:t xml:space="preserve"> o </w:t>
      </w:r>
      <w:r>
        <w:rPr>
          <w:rFonts w:eastAsiaTheme="minorHAnsi"/>
          <w:sz w:val="24"/>
          <w:szCs w:val="32"/>
          <w:lang w:val="es-MX"/>
        </w:rPr>
        <w:t xml:space="preserve">a las </w:t>
      </w:r>
      <w:r w:rsidR="005621CC" w:rsidRPr="008B70CC">
        <w:rPr>
          <w:rFonts w:eastAsiaTheme="minorHAnsi"/>
          <w:sz w:val="24"/>
          <w:szCs w:val="32"/>
          <w:lang w:val="es-MX"/>
        </w:rPr>
        <w:t>solicitudes de documentación, incumplimiento</w:t>
      </w:r>
      <w:r>
        <w:rPr>
          <w:rFonts w:eastAsiaTheme="minorHAnsi"/>
          <w:sz w:val="24"/>
          <w:szCs w:val="32"/>
          <w:lang w:val="es-MX"/>
        </w:rPr>
        <w:t xml:space="preserve"> continuo</w:t>
      </w:r>
      <w:r w:rsidR="005621CC" w:rsidRPr="008B70CC">
        <w:rPr>
          <w:rFonts w:eastAsiaTheme="minorHAnsi"/>
          <w:sz w:val="24"/>
          <w:szCs w:val="32"/>
          <w:lang w:val="es-MX"/>
        </w:rPr>
        <w:t xml:space="preserve"> de responder y resolver cualquier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contingencia</w:t>
      </w:r>
      <w:r>
        <w:rPr>
          <w:rFonts w:eastAsiaTheme="minorHAnsi"/>
          <w:sz w:val="24"/>
          <w:szCs w:val="32"/>
          <w:lang w:val="es-MX"/>
        </w:rPr>
        <w:t xml:space="preserve"> durante el </w:t>
      </w:r>
      <w:r w:rsidR="005621CC" w:rsidRPr="008B70CC">
        <w:rPr>
          <w:rFonts w:eastAsiaTheme="minorHAnsi"/>
          <w:sz w:val="24"/>
          <w:szCs w:val="32"/>
          <w:lang w:val="es-MX"/>
        </w:rPr>
        <w:t xml:space="preserve">estudio, o </w:t>
      </w:r>
      <w:r>
        <w:rPr>
          <w:rFonts w:eastAsiaTheme="minorHAnsi"/>
          <w:sz w:val="24"/>
          <w:szCs w:val="32"/>
          <w:lang w:val="es-MX"/>
        </w:rPr>
        <w:t xml:space="preserve">los </w:t>
      </w:r>
      <w:r w:rsidR="005621CC" w:rsidRPr="008B70CC">
        <w:rPr>
          <w:rFonts w:eastAsiaTheme="minorHAnsi"/>
          <w:sz w:val="24"/>
          <w:szCs w:val="32"/>
          <w:lang w:val="es-MX"/>
        </w:rPr>
        <w:t xml:space="preserve">casos </w:t>
      </w:r>
      <w:r w:rsidR="008F1AEA" w:rsidRPr="008B70CC">
        <w:rPr>
          <w:rFonts w:eastAsiaTheme="minorHAnsi"/>
          <w:sz w:val="24"/>
          <w:szCs w:val="32"/>
          <w:lang w:val="es-MX"/>
        </w:rPr>
        <w:t>de fallas</w:t>
      </w:r>
      <w:r w:rsidR="008F1AEA">
        <w:rPr>
          <w:rFonts w:eastAsiaTheme="minorHAnsi"/>
          <w:sz w:val="24"/>
          <w:szCs w:val="32"/>
          <w:lang w:val="es-MX"/>
        </w:rPr>
        <w:t xml:space="preserve"> </w:t>
      </w:r>
      <w:r>
        <w:rPr>
          <w:rFonts w:eastAsiaTheme="minorHAnsi"/>
          <w:sz w:val="24"/>
          <w:szCs w:val="32"/>
          <w:lang w:val="es-MX"/>
        </w:rPr>
        <w:t>sin res</w:t>
      </w:r>
      <w:r w:rsidR="008F1AEA">
        <w:rPr>
          <w:rFonts w:eastAsiaTheme="minorHAnsi"/>
          <w:sz w:val="24"/>
          <w:szCs w:val="32"/>
          <w:lang w:val="es-MX"/>
        </w:rPr>
        <w:t>olver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para responder a las</w:t>
      </w:r>
      <w:r>
        <w:rPr>
          <w:rFonts w:eastAsiaTheme="minorHAnsi"/>
          <w:sz w:val="24"/>
          <w:szCs w:val="32"/>
          <w:lang w:val="es-MX"/>
        </w:rPr>
        <w:t xml:space="preserve"> </w:t>
      </w:r>
      <w:r w:rsidR="005621CC" w:rsidRPr="008B70CC">
        <w:rPr>
          <w:rFonts w:eastAsiaTheme="minorHAnsi"/>
          <w:sz w:val="24"/>
          <w:szCs w:val="32"/>
          <w:lang w:val="es-MX"/>
        </w:rPr>
        <w:t>preguntas y contingencias</w:t>
      </w:r>
      <w:r w:rsidR="008F1AEA" w:rsidRPr="008F1AEA">
        <w:rPr>
          <w:rFonts w:eastAsiaTheme="minorHAnsi"/>
          <w:sz w:val="24"/>
          <w:szCs w:val="32"/>
          <w:lang w:val="es-MX"/>
        </w:rPr>
        <w:t xml:space="preserve"> </w:t>
      </w:r>
      <w:r w:rsidR="008F1AEA" w:rsidRPr="008B70CC">
        <w:rPr>
          <w:rFonts w:eastAsiaTheme="minorHAnsi"/>
          <w:sz w:val="24"/>
          <w:szCs w:val="32"/>
          <w:lang w:val="es-MX"/>
        </w:rPr>
        <w:t>de</w:t>
      </w:r>
      <w:r w:rsidR="008F1AEA">
        <w:rPr>
          <w:rFonts w:eastAsiaTheme="minorHAnsi"/>
          <w:sz w:val="24"/>
          <w:szCs w:val="32"/>
          <w:lang w:val="es-MX"/>
        </w:rPr>
        <w:t xml:space="preserve">l </w:t>
      </w:r>
      <w:r w:rsidR="00A8072F">
        <w:rPr>
          <w:rFonts w:eastAsiaTheme="minorHAnsi"/>
          <w:sz w:val="24"/>
          <w:szCs w:val="32"/>
          <w:lang w:val="es-MX"/>
        </w:rPr>
        <w:t>CEI</w:t>
      </w:r>
      <w:r w:rsidR="005621CC" w:rsidRPr="008B70CC">
        <w:rPr>
          <w:rFonts w:eastAsiaTheme="minorHAnsi"/>
          <w:sz w:val="24"/>
          <w:szCs w:val="32"/>
          <w:lang w:val="es-MX"/>
        </w:rPr>
        <w:t>.</w:t>
      </w:r>
    </w:p>
    <w:p w:rsidR="00484716" w:rsidRDefault="00484716" w:rsidP="00B14859">
      <w:pPr>
        <w:pStyle w:val="level2bodystyle"/>
        <w:ind w:left="0"/>
        <w:jc w:val="both"/>
        <w:rPr>
          <w:sz w:val="24"/>
          <w:szCs w:val="24"/>
          <w:lang w:val="es-ES"/>
        </w:rPr>
      </w:pPr>
    </w:p>
    <w:p w:rsidR="00BB22BE" w:rsidRPr="008B70CC" w:rsidRDefault="00720EB7" w:rsidP="00B14859">
      <w:pPr>
        <w:pStyle w:val="level2bodystyle"/>
        <w:ind w:left="708"/>
        <w:rPr>
          <w:b/>
          <w:lang w:val="es-MX"/>
        </w:rPr>
      </w:pPr>
      <w:r>
        <w:rPr>
          <w:b/>
          <w:sz w:val="24"/>
          <w:szCs w:val="24"/>
          <w:lang w:val="es-ES"/>
        </w:rPr>
        <w:t xml:space="preserve">1. 4 </w:t>
      </w:r>
      <w:r w:rsidR="00BB22BE" w:rsidRPr="008B70CC">
        <w:rPr>
          <w:b/>
          <w:lang w:val="es-MX"/>
        </w:rPr>
        <w:t>PLAN DE CONTINGENCIA:</w:t>
      </w:r>
    </w:p>
    <w:p w:rsidR="00BB22BE" w:rsidRPr="008B70CC" w:rsidRDefault="00BB22BE" w:rsidP="00B14859">
      <w:pPr>
        <w:pStyle w:val="level2bodystyle"/>
        <w:rPr>
          <w:lang w:val="es-MX"/>
        </w:rPr>
      </w:pPr>
      <w:r>
        <w:rPr>
          <w:sz w:val="24"/>
          <w:szCs w:val="24"/>
          <w:lang w:val="es-ES"/>
        </w:rPr>
        <w:t>Es impor</w:t>
      </w:r>
      <w:r w:rsidR="0072045B">
        <w:rPr>
          <w:sz w:val="24"/>
          <w:szCs w:val="24"/>
          <w:lang w:val="es-ES"/>
        </w:rPr>
        <w:t xml:space="preserve">tante conocer que el </w:t>
      </w:r>
      <w:r w:rsidR="00A8072F">
        <w:rPr>
          <w:sz w:val="24"/>
          <w:szCs w:val="24"/>
          <w:lang w:val="es-ES"/>
        </w:rPr>
        <w:t>CEI</w:t>
      </w:r>
      <w:r>
        <w:rPr>
          <w:sz w:val="24"/>
          <w:szCs w:val="24"/>
          <w:lang w:val="es-ES"/>
        </w:rPr>
        <w:t xml:space="preserve"> tiene acciones bien </w:t>
      </w:r>
      <w:r w:rsidR="0072045B">
        <w:rPr>
          <w:sz w:val="24"/>
          <w:szCs w:val="24"/>
          <w:lang w:val="es-ES"/>
        </w:rPr>
        <w:t>específic</w:t>
      </w:r>
      <w:r>
        <w:rPr>
          <w:sz w:val="24"/>
          <w:szCs w:val="24"/>
          <w:lang w:val="es-ES"/>
        </w:rPr>
        <w:t xml:space="preserve">as en relación a la suspensión o terminación de un estudio en caso que se haya detectado una acción o evento que pudiera perjudicar la seguridad y </w:t>
      </w:r>
      <w:r w:rsidR="008F1AEA">
        <w:rPr>
          <w:sz w:val="24"/>
          <w:szCs w:val="24"/>
          <w:lang w:val="es-ES"/>
        </w:rPr>
        <w:t xml:space="preserve">el </w:t>
      </w:r>
      <w:r>
        <w:rPr>
          <w:sz w:val="24"/>
          <w:szCs w:val="24"/>
          <w:lang w:val="es-ES"/>
        </w:rPr>
        <w:t>bienestar de los sujetos. Tales acciones son:</w:t>
      </w:r>
    </w:p>
    <w:p w:rsidR="00BB22BE" w:rsidRPr="008B70CC" w:rsidRDefault="00C5281B" w:rsidP="00B14859">
      <w:pPr>
        <w:pStyle w:val="level2bodystyle"/>
        <w:rPr>
          <w:lang w:val="es-MX"/>
        </w:rPr>
      </w:pPr>
      <w:r>
        <w:rPr>
          <w:sz w:val="24"/>
          <w:szCs w:val="24"/>
          <w:lang w:val="es-ES"/>
        </w:rPr>
        <w:t>1.- Solic</w:t>
      </w:r>
      <w:r w:rsidR="00AA22DE">
        <w:rPr>
          <w:sz w:val="24"/>
          <w:szCs w:val="24"/>
          <w:lang w:val="es-ES"/>
        </w:rPr>
        <w:t xml:space="preserve">itar al investigador </w:t>
      </w:r>
      <w:r w:rsidR="0072045B">
        <w:rPr>
          <w:sz w:val="24"/>
          <w:szCs w:val="24"/>
          <w:lang w:val="es-ES"/>
        </w:rPr>
        <w:t>que informe a</w:t>
      </w:r>
      <w:r w:rsidR="00AA22DE">
        <w:rPr>
          <w:sz w:val="24"/>
          <w:szCs w:val="24"/>
          <w:lang w:val="es-ES"/>
        </w:rPr>
        <w:t xml:space="preserve">l </w:t>
      </w:r>
      <w:r>
        <w:rPr>
          <w:sz w:val="24"/>
          <w:szCs w:val="24"/>
          <w:lang w:val="es-ES"/>
        </w:rPr>
        <w:t>resto de los pacientes enrolados de la situación y determinar si será necesario realizar estudios adicionales para verificar su integridad medica</w:t>
      </w:r>
      <w:r w:rsidR="008F1AEA">
        <w:rPr>
          <w:sz w:val="24"/>
          <w:szCs w:val="24"/>
          <w:lang w:val="es-ES"/>
        </w:rPr>
        <w:t>;</w:t>
      </w:r>
      <w:r w:rsidR="00AA22DE">
        <w:rPr>
          <w:sz w:val="24"/>
          <w:szCs w:val="24"/>
          <w:lang w:val="es-ES"/>
        </w:rPr>
        <w:t xml:space="preserve"> as</w:t>
      </w:r>
      <w:r w:rsidR="0072045B">
        <w:rPr>
          <w:sz w:val="24"/>
          <w:szCs w:val="24"/>
          <w:lang w:val="es-ES"/>
        </w:rPr>
        <w:t>í</w:t>
      </w:r>
      <w:r w:rsidR="00AA22DE">
        <w:rPr>
          <w:sz w:val="24"/>
          <w:szCs w:val="24"/>
          <w:lang w:val="es-ES"/>
        </w:rPr>
        <w:t xml:space="preserve"> mismo se le indica que </w:t>
      </w:r>
      <w:r w:rsidR="008F1AEA">
        <w:rPr>
          <w:sz w:val="24"/>
          <w:szCs w:val="24"/>
          <w:lang w:val="es-ES"/>
        </w:rPr>
        <w:t>reporte e</w:t>
      </w:r>
      <w:r w:rsidR="00AA22DE">
        <w:rPr>
          <w:sz w:val="24"/>
          <w:szCs w:val="24"/>
          <w:lang w:val="es-ES"/>
        </w:rPr>
        <w:t>l cierre y/o suspensión del estudio.</w:t>
      </w:r>
    </w:p>
    <w:p w:rsidR="00C5281B" w:rsidRPr="008F1AEA" w:rsidRDefault="00C5281B" w:rsidP="008F1AEA">
      <w:pPr>
        <w:pStyle w:val="level2bodystyle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2.- </w:t>
      </w:r>
      <w:r w:rsidR="008F1AEA">
        <w:rPr>
          <w:sz w:val="24"/>
          <w:szCs w:val="24"/>
          <w:lang w:val="es-ES"/>
        </w:rPr>
        <w:t>Verificar con el D</w:t>
      </w:r>
      <w:r w:rsidR="006C7D5A">
        <w:rPr>
          <w:sz w:val="24"/>
          <w:szCs w:val="24"/>
          <w:lang w:val="es-ES"/>
        </w:rPr>
        <w:t xml:space="preserve">epartamento de </w:t>
      </w:r>
      <w:r w:rsidR="00AA22DE">
        <w:rPr>
          <w:sz w:val="24"/>
          <w:szCs w:val="24"/>
          <w:lang w:val="es-ES"/>
        </w:rPr>
        <w:t>Jurídico</w:t>
      </w:r>
      <w:r w:rsidR="006C7D5A">
        <w:rPr>
          <w:sz w:val="24"/>
          <w:szCs w:val="24"/>
          <w:lang w:val="es-ES"/>
        </w:rPr>
        <w:t xml:space="preserve"> si </w:t>
      </w:r>
      <w:r w:rsidR="0072045B">
        <w:rPr>
          <w:sz w:val="24"/>
          <w:szCs w:val="24"/>
          <w:lang w:val="es-ES"/>
        </w:rPr>
        <w:t>es aplicable</w:t>
      </w:r>
      <w:r w:rsidR="006C7D5A">
        <w:rPr>
          <w:sz w:val="24"/>
          <w:szCs w:val="24"/>
          <w:lang w:val="es-ES"/>
        </w:rPr>
        <w:t xml:space="preserve"> el pago </w:t>
      </w:r>
      <w:r w:rsidR="008F1AEA">
        <w:rPr>
          <w:sz w:val="24"/>
          <w:szCs w:val="24"/>
          <w:lang w:val="es-ES"/>
        </w:rPr>
        <w:t>por</w:t>
      </w:r>
      <w:r w:rsidR="006C7D5A">
        <w:rPr>
          <w:sz w:val="24"/>
          <w:szCs w:val="24"/>
          <w:lang w:val="es-ES"/>
        </w:rPr>
        <w:t xml:space="preserve"> daños y/o indemnización por daño al sujeto. </w:t>
      </w:r>
    </w:p>
    <w:p w:rsidR="006C7D5A" w:rsidRPr="008B70CC" w:rsidRDefault="006C7D5A" w:rsidP="00B14859">
      <w:pPr>
        <w:pStyle w:val="level2bodystyle"/>
        <w:rPr>
          <w:lang w:val="es-MX"/>
        </w:rPr>
      </w:pPr>
      <w:r>
        <w:rPr>
          <w:sz w:val="24"/>
          <w:szCs w:val="24"/>
          <w:lang w:val="es-ES"/>
        </w:rPr>
        <w:t xml:space="preserve">3.- El investigador deberá  vigilar con visitas no programadas el estado de salud de los pacientes y  emitir un reporte con una periodicidad que el </w:t>
      </w:r>
      <w:r w:rsidR="00A8072F">
        <w:rPr>
          <w:sz w:val="24"/>
          <w:szCs w:val="24"/>
          <w:lang w:val="es-ES"/>
        </w:rPr>
        <w:t>CEI</w:t>
      </w:r>
      <w:r>
        <w:rPr>
          <w:sz w:val="24"/>
          <w:szCs w:val="24"/>
          <w:lang w:val="es-ES"/>
        </w:rPr>
        <w:t xml:space="preserve"> </w:t>
      </w:r>
      <w:r w:rsidR="0072045B">
        <w:rPr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>etermine necesaria.</w:t>
      </w:r>
    </w:p>
    <w:p w:rsidR="00AA22DE" w:rsidRPr="008B70CC" w:rsidRDefault="006C7D5A" w:rsidP="00B14859">
      <w:pPr>
        <w:pStyle w:val="level2bodystyle"/>
        <w:rPr>
          <w:lang w:val="es-MX"/>
        </w:rPr>
      </w:pPr>
      <w:r>
        <w:rPr>
          <w:sz w:val="24"/>
          <w:szCs w:val="24"/>
          <w:lang w:val="es-ES"/>
        </w:rPr>
        <w:t>4.-</w:t>
      </w:r>
      <w:r w:rsidR="00AA22DE">
        <w:rPr>
          <w:sz w:val="24"/>
          <w:szCs w:val="24"/>
          <w:lang w:val="es-ES"/>
        </w:rPr>
        <w:t xml:space="preserve"> El </w:t>
      </w:r>
      <w:r w:rsidR="00A8072F">
        <w:rPr>
          <w:sz w:val="24"/>
          <w:szCs w:val="24"/>
          <w:lang w:val="es-ES"/>
        </w:rPr>
        <w:t>CEI</w:t>
      </w:r>
      <w:r w:rsidR="00AA22DE">
        <w:rPr>
          <w:sz w:val="24"/>
          <w:szCs w:val="24"/>
          <w:lang w:val="es-ES"/>
        </w:rPr>
        <w:t xml:space="preserve"> solicitara </w:t>
      </w:r>
      <w:r w:rsidR="0072045B">
        <w:rPr>
          <w:sz w:val="24"/>
          <w:szCs w:val="24"/>
          <w:lang w:val="es-ES"/>
        </w:rPr>
        <w:t xml:space="preserve">al investigador </w:t>
      </w:r>
      <w:r w:rsidR="00AA22DE">
        <w:rPr>
          <w:sz w:val="24"/>
          <w:szCs w:val="24"/>
          <w:lang w:val="es-ES"/>
        </w:rPr>
        <w:t xml:space="preserve">un reporte </w:t>
      </w:r>
      <w:r w:rsidR="0072045B">
        <w:rPr>
          <w:sz w:val="24"/>
          <w:szCs w:val="24"/>
          <w:lang w:val="es-ES"/>
        </w:rPr>
        <w:t xml:space="preserve">que describa </w:t>
      </w:r>
      <w:r w:rsidR="00AA22DE">
        <w:rPr>
          <w:sz w:val="24"/>
          <w:szCs w:val="24"/>
          <w:lang w:val="es-ES"/>
        </w:rPr>
        <w:t xml:space="preserve">el suceso </w:t>
      </w:r>
      <w:r w:rsidR="0072045B">
        <w:rPr>
          <w:sz w:val="24"/>
          <w:szCs w:val="24"/>
          <w:lang w:val="es-ES"/>
        </w:rPr>
        <w:t xml:space="preserve">en sus propias palabras </w:t>
      </w:r>
      <w:r w:rsidR="00AA22DE">
        <w:rPr>
          <w:sz w:val="24"/>
          <w:szCs w:val="24"/>
          <w:lang w:val="es-ES"/>
        </w:rPr>
        <w:t xml:space="preserve"> y </w:t>
      </w:r>
      <w:r w:rsidR="0072045B">
        <w:rPr>
          <w:sz w:val="24"/>
          <w:szCs w:val="24"/>
          <w:lang w:val="es-ES"/>
        </w:rPr>
        <w:t xml:space="preserve">el </w:t>
      </w:r>
      <w:r w:rsidR="00AA22DE">
        <w:rPr>
          <w:sz w:val="24"/>
          <w:szCs w:val="24"/>
          <w:lang w:val="es-ES"/>
        </w:rPr>
        <w:t>impact</w:t>
      </w:r>
      <w:r w:rsidR="0072045B">
        <w:rPr>
          <w:sz w:val="24"/>
          <w:szCs w:val="24"/>
          <w:lang w:val="es-ES"/>
        </w:rPr>
        <w:t xml:space="preserve">o en </w:t>
      </w:r>
      <w:r w:rsidR="00AA22DE">
        <w:rPr>
          <w:sz w:val="24"/>
          <w:szCs w:val="24"/>
          <w:lang w:val="es-ES"/>
        </w:rPr>
        <w:t xml:space="preserve"> el desarrollo de la investigación</w:t>
      </w:r>
      <w:r w:rsidR="0072045B">
        <w:rPr>
          <w:sz w:val="24"/>
          <w:szCs w:val="24"/>
          <w:lang w:val="es-ES"/>
        </w:rPr>
        <w:t>, así como en la</w:t>
      </w:r>
      <w:r w:rsidR="00AA22DE">
        <w:rPr>
          <w:sz w:val="24"/>
          <w:szCs w:val="24"/>
          <w:lang w:val="es-ES"/>
        </w:rPr>
        <w:t xml:space="preserve"> seguridad y bienestar de los sujetos.</w:t>
      </w:r>
    </w:p>
    <w:p w:rsidR="00AA22DE" w:rsidRPr="008B70CC" w:rsidRDefault="00AA22DE" w:rsidP="00B14859">
      <w:pPr>
        <w:pStyle w:val="level2bodystyle"/>
        <w:rPr>
          <w:lang w:val="es-MX"/>
        </w:rPr>
      </w:pPr>
      <w:r>
        <w:rPr>
          <w:sz w:val="24"/>
          <w:szCs w:val="24"/>
          <w:lang w:val="es-ES"/>
        </w:rPr>
        <w:t>5.- De acuerdo a las BPC</w:t>
      </w:r>
      <w:r w:rsidR="0072045B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el investigador tiene la obligación de informar cualquier evento que pudiera afectar adversamente la</w:t>
      </w:r>
      <w:r w:rsidR="0072045B">
        <w:rPr>
          <w:sz w:val="24"/>
          <w:szCs w:val="24"/>
          <w:lang w:val="es-ES"/>
        </w:rPr>
        <w:t xml:space="preserve"> seguridad de los pacientes, así</w:t>
      </w:r>
      <w:r>
        <w:rPr>
          <w:sz w:val="24"/>
          <w:szCs w:val="24"/>
          <w:lang w:val="es-ES"/>
        </w:rPr>
        <w:t xml:space="preserve"> </w:t>
      </w:r>
      <w:r w:rsidR="0072045B">
        <w:rPr>
          <w:sz w:val="24"/>
          <w:szCs w:val="24"/>
          <w:lang w:val="es-ES"/>
        </w:rPr>
        <w:t>como de</w:t>
      </w:r>
      <w:r>
        <w:rPr>
          <w:sz w:val="24"/>
          <w:szCs w:val="24"/>
          <w:lang w:val="es-ES"/>
        </w:rPr>
        <w:t xml:space="preserve"> cualquier cambio que pudiera incrementar el riesgo </w:t>
      </w:r>
      <w:r w:rsidR="0072045B">
        <w:rPr>
          <w:sz w:val="24"/>
          <w:szCs w:val="24"/>
          <w:lang w:val="es-ES"/>
        </w:rPr>
        <w:t>en</w:t>
      </w:r>
      <w:r>
        <w:rPr>
          <w:sz w:val="24"/>
          <w:szCs w:val="24"/>
          <w:lang w:val="es-ES"/>
        </w:rPr>
        <w:t xml:space="preserve"> los sujetos </w:t>
      </w:r>
      <w:r w:rsidR="0072045B">
        <w:rPr>
          <w:sz w:val="24"/>
          <w:szCs w:val="24"/>
          <w:lang w:val="es-ES"/>
        </w:rPr>
        <w:t>enrolados</w:t>
      </w:r>
      <w:r>
        <w:rPr>
          <w:sz w:val="24"/>
          <w:szCs w:val="24"/>
          <w:lang w:val="es-ES"/>
        </w:rPr>
        <w:t>.</w:t>
      </w:r>
    </w:p>
    <w:p w:rsidR="00E67A9D" w:rsidRPr="00F81921" w:rsidRDefault="00E67A9D" w:rsidP="00DB53D2">
      <w:pPr>
        <w:jc w:val="both"/>
        <w:rPr>
          <w:rFonts w:ascii="Arial" w:hAnsi="Arial" w:cs="Arial"/>
          <w:b/>
        </w:rPr>
      </w:pP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IV. RESPONSABILIDADES</w:t>
      </w:r>
    </w:p>
    <w:p w:rsidR="001B213D" w:rsidRPr="00F81921" w:rsidRDefault="001B213D" w:rsidP="00DB53D2">
      <w:pPr>
        <w:jc w:val="both"/>
        <w:rPr>
          <w:rFonts w:ascii="Arial" w:hAnsi="Arial" w:cs="Arial"/>
          <w:b/>
        </w:rPr>
      </w:pPr>
    </w:p>
    <w:p w:rsidR="00BB22BE" w:rsidRDefault="00F81921" w:rsidP="00F81921">
      <w:pPr>
        <w:pStyle w:val="level1bodystyle"/>
        <w:jc w:val="both"/>
        <w:rPr>
          <w:snapToGrid w:val="0"/>
          <w:lang w:val="es-ES"/>
        </w:rPr>
      </w:pPr>
      <w:r>
        <w:rPr>
          <w:snapToGrid w:val="0"/>
          <w:lang w:val="es-ES"/>
        </w:rPr>
        <w:t xml:space="preserve">El Presidente del </w:t>
      </w:r>
      <w:r w:rsidR="00A8072F">
        <w:rPr>
          <w:snapToGrid w:val="0"/>
          <w:lang w:val="es-ES"/>
        </w:rPr>
        <w:t>CEI</w:t>
      </w:r>
      <w:r>
        <w:rPr>
          <w:snapToGrid w:val="0"/>
          <w:lang w:val="es-ES"/>
        </w:rPr>
        <w:t xml:space="preserve"> es responsable de garantizar </w:t>
      </w:r>
      <w:r w:rsidR="0072045B">
        <w:rPr>
          <w:snapToGrid w:val="0"/>
          <w:lang w:val="es-ES"/>
        </w:rPr>
        <w:t xml:space="preserve">que </w:t>
      </w:r>
      <w:r>
        <w:rPr>
          <w:snapToGrid w:val="0"/>
          <w:lang w:val="es-ES"/>
        </w:rPr>
        <w:t>toda la documentación de la terminac</w:t>
      </w:r>
      <w:r w:rsidR="0072045B">
        <w:rPr>
          <w:snapToGrid w:val="0"/>
          <w:lang w:val="es-ES"/>
        </w:rPr>
        <w:t>ión del estudio que es recibida sea</w:t>
      </w:r>
      <w:r>
        <w:rPr>
          <w:snapToGrid w:val="0"/>
          <w:lang w:val="es-ES"/>
        </w:rPr>
        <w:t xml:space="preserve"> revisada, presentada al </w:t>
      </w:r>
      <w:r w:rsidR="00A8072F">
        <w:rPr>
          <w:snapToGrid w:val="0"/>
          <w:lang w:val="es-ES"/>
        </w:rPr>
        <w:t>CEI</w:t>
      </w:r>
      <w:r>
        <w:rPr>
          <w:snapToGrid w:val="0"/>
          <w:lang w:val="es-ES"/>
        </w:rPr>
        <w:t xml:space="preserve">   y  archivada  apropiadamente</w:t>
      </w:r>
      <w:r w:rsidR="004F02D5">
        <w:rPr>
          <w:snapToGrid w:val="0"/>
          <w:lang w:val="es-ES"/>
        </w:rPr>
        <w:t xml:space="preserve">,  también podrá delegar la revisión de los cierres de estudio al revisor expedito, el cual deberá informar a los miembros del </w:t>
      </w:r>
      <w:r w:rsidR="00A8072F">
        <w:rPr>
          <w:snapToGrid w:val="0"/>
          <w:lang w:val="es-ES"/>
        </w:rPr>
        <w:t>CEI</w:t>
      </w:r>
      <w:r w:rsidR="004F02D5">
        <w:rPr>
          <w:snapToGrid w:val="0"/>
          <w:lang w:val="es-ES"/>
        </w:rPr>
        <w:t>.</w:t>
      </w:r>
    </w:p>
    <w:p w:rsidR="00CC011C" w:rsidRDefault="00BB22BE" w:rsidP="00F81921">
      <w:pPr>
        <w:pStyle w:val="level1bodystyle"/>
        <w:jc w:val="both"/>
        <w:rPr>
          <w:snapToGrid w:val="0"/>
          <w:lang w:val="es-ES"/>
        </w:rPr>
      </w:pPr>
      <w:r>
        <w:rPr>
          <w:snapToGrid w:val="0"/>
          <w:lang w:val="es-ES"/>
        </w:rPr>
        <w:t>El Presidente</w:t>
      </w:r>
      <w:r w:rsidR="000507D1">
        <w:rPr>
          <w:snapToGrid w:val="0"/>
          <w:lang w:val="es-ES"/>
        </w:rPr>
        <w:t xml:space="preserve">, o la persona designada, </w:t>
      </w:r>
      <w:proofErr w:type="gramStart"/>
      <w:r w:rsidR="000507D1">
        <w:rPr>
          <w:snapToGrid w:val="0"/>
          <w:lang w:val="es-ES"/>
        </w:rPr>
        <w:t>será</w:t>
      </w:r>
      <w:proofErr w:type="gramEnd"/>
      <w:r w:rsidR="000507D1">
        <w:rPr>
          <w:snapToGrid w:val="0"/>
          <w:lang w:val="es-ES"/>
        </w:rPr>
        <w:t xml:space="preserve"> </w:t>
      </w:r>
      <w:r w:rsidR="0072045B">
        <w:rPr>
          <w:snapToGrid w:val="0"/>
          <w:lang w:val="es-ES"/>
        </w:rPr>
        <w:t>responsable</w:t>
      </w:r>
      <w:r>
        <w:rPr>
          <w:snapToGrid w:val="0"/>
          <w:lang w:val="es-ES"/>
        </w:rPr>
        <w:t xml:space="preserve"> de la revisión del caso y determinar</w:t>
      </w:r>
      <w:r w:rsidR="0072045B">
        <w:rPr>
          <w:snapToGrid w:val="0"/>
          <w:lang w:val="es-ES"/>
        </w:rPr>
        <w:t>á</w:t>
      </w:r>
      <w:r w:rsidR="0072045B" w:rsidRPr="0072045B">
        <w:rPr>
          <w:snapToGrid w:val="0"/>
          <w:lang w:val="es-ES"/>
        </w:rPr>
        <w:t xml:space="preserve"> </w:t>
      </w:r>
      <w:r w:rsidR="0072045B">
        <w:rPr>
          <w:snapToGrid w:val="0"/>
          <w:lang w:val="es-ES"/>
        </w:rPr>
        <w:t>emitir una respuesta a la solicitud,</w:t>
      </w:r>
      <w:r>
        <w:rPr>
          <w:snapToGrid w:val="0"/>
          <w:lang w:val="es-ES"/>
        </w:rPr>
        <w:t xml:space="preserve"> ya sea de forma urgente </w:t>
      </w:r>
      <w:r w:rsidR="0072045B">
        <w:rPr>
          <w:snapToGrid w:val="0"/>
          <w:lang w:val="es-ES"/>
        </w:rPr>
        <w:t>u ordinaria</w:t>
      </w:r>
      <w:r>
        <w:rPr>
          <w:snapToGrid w:val="0"/>
          <w:lang w:val="es-ES"/>
        </w:rPr>
        <w:t>.</w:t>
      </w:r>
    </w:p>
    <w:p w:rsidR="00F81921" w:rsidRDefault="0072045B" w:rsidP="00F81921">
      <w:pPr>
        <w:pStyle w:val="level1bodystyle"/>
        <w:jc w:val="both"/>
        <w:rPr>
          <w:lang w:val="es-ES"/>
        </w:rPr>
      </w:pPr>
      <w:r>
        <w:rPr>
          <w:snapToGrid w:val="0"/>
          <w:lang w:val="es-ES"/>
        </w:rPr>
        <w:t>El i</w:t>
      </w:r>
      <w:r w:rsidR="00CC011C">
        <w:rPr>
          <w:snapToGrid w:val="0"/>
          <w:lang w:val="es-ES"/>
        </w:rPr>
        <w:t xml:space="preserve">nvestigador es el responsable de solicitar el cierre del estudio </w:t>
      </w:r>
      <w:r>
        <w:rPr>
          <w:snapToGrid w:val="0"/>
          <w:lang w:val="es-ES"/>
        </w:rPr>
        <w:t>una vez que haya</w:t>
      </w:r>
      <w:r w:rsidR="00CC011C">
        <w:rPr>
          <w:snapToGrid w:val="0"/>
          <w:lang w:val="es-ES"/>
        </w:rPr>
        <w:t xml:space="preserve"> conclu</w:t>
      </w:r>
      <w:r>
        <w:rPr>
          <w:snapToGrid w:val="0"/>
          <w:lang w:val="es-ES"/>
        </w:rPr>
        <w:t>ido</w:t>
      </w:r>
      <w:r w:rsidR="00CC011C">
        <w:rPr>
          <w:snapToGrid w:val="0"/>
          <w:lang w:val="es-ES"/>
        </w:rPr>
        <w:t>, además de informar de cualquier evento que pudiera afectar la conducta de la evolución del estudio dentro de los primeros 7 días hábiles desde su conocimiento</w:t>
      </w:r>
      <w:r w:rsidR="00B67428">
        <w:rPr>
          <w:snapToGrid w:val="0"/>
          <w:lang w:val="es-ES"/>
        </w:rPr>
        <w:t xml:space="preserve"> de un evento</w:t>
      </w:r>
      <w:r w:rsidR="00CC011C">
        <w:rPr>
          <w:snapToGrid w:val="0"/>
          <w:lang w:val="es-ES"/>
        </w:rPr>
        <w:t>.</w:t>
      </w:r>
    </w:p>
    <w:p w:rsidR="008A1BE2" w:rsidRPr="00F81921" w:rsidRDefault="008A1BE2" w:rsidP="00DB53D2">
      <w:pPr>
        <w:jc w:val="both"/>
        <w:rPr>
          <w:rFonts w:ascii="Arial" w:hAnsi="Arial" w:cs="Arial"/>
          <w:b/>
        </w:rPr>
      </w:pPr>
    </w:p>
    <w:p w:rsidR="001B213D" w:rsidRPr="00F81921" w:rsidRDefault="001B213D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V. ALCANCE</w:t>
      </w:r>
    </w:p>
    <w:p w:rsidR="00CC79A3" w:rsidRPr="00F81921" w:rsidRDefault="00CC79A3" w:rsidP="00DB53D2">
      <w:pPr>
        <w:jc w:val="both"/>
        <w:rPr>
          <w:rFonts w:ascii="Arial" w:hAnsi="Arial" w:cs="Arial"/>
          <w:b/>
        </w:rPr>
      </w:pPr>
    </w:p>
    <w:p w:rsidR="00F81921" w:rsidRDefault="00F81921" w:rsidP="00F81921">
      <w:pPr>
        <w:pStyle w:val="level1bodystyle"/>
        <w:jc w:val="both"/>
        <w:rPr>
          <w:lang w:val="es-ES"/>
        </w:rPr>
      </w:pPr>
      <w:r>
        <w:rPr>
          <w:lang w:val="es-ES"/>
        </w:rPr>
        <w:t xml:space="preserve">Estas políticas y procedimientos se aplican a toda la investigación sometida al </w:t>
      </w:r>
      <w:r w:rsidR="00A8072F">
        <w:rPr>
          <w:lang w:val="es-ES"/>
        </w:rPr>
        <w:t>CEI</w:t>
      </w:r>
      <w:r>
        <w:rPr>
          <w:lang w:val="es-ES"/>
        </w:rPr>
        <w:t>.</w:t>
      </w:r>
    </w:p>
    <w:p w:rsidR="008A07E7" w:rsidRPr="00F81921" w:rsidRDefault="008A07E7" w:rsidP="00DB53D2">
      <w:pPr>
        <w:jc w:val="both"/>
        <w:rPr>
          <w:rFonts w:ascii="Arial" w:hAnsi="Arial" w:cs="Arial"/>
          <w:b/>
        </w:rPr>
      </w:pP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V. PROCEDIMIENTO</w:t>
      </w:r>
    </w:p>
    <w:p w:rsidR="007A41ED" w:rsidRPr="00F81921" w:rsidRDefault="007A41ED" w:rsidP="00B50A9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2C50B9" w:rsidRPr="00F81921" w:rsidRDefault="00F81921" w:rsidP="002C50B9">
      <w:pPr>
        <w:pStyle w:val="List-Level1"/>
        <w:tabs>
          <w:tab w:val="clear" w:pos="720"/>
          <w:tab w:val="num" w:pos="360"/>
        </w:tabs>
        <w:ind w:left="426" w:hanging="66"/>
        <w:jc w:val="both"/>
        <w:rPr>
          <w:szCs w:val="24"/>
          <w:lang w:val="es-ES"/>
        </w:rPr>
      </w:pPr>
      <w:r>
        <w:rPr>
          <w:lang w:val="es-ES"/>
        </w:rPr>
        <w:t xml:space="preserve">Describe cómo el </w:t>
      </w:r>
      <w:r w:rsidR="00A8072F">
        <w:rPr>
          <w:lang w:val="es-ES"/>
        </w:rPr>
        <w:t>CEI</w:t>
      </w:r>
      <w:r>
        <w:rPr>
          <w:lang w:val="es-ES"/>
        </w:rPr>
        <w:t xml:space="preserve"> recibe la notificación cuando se termina un proyecto de investigación</w:t>
      </w:r>
      <w:r w:rsidR="002C50B9" w:rsidRPr="00F81921">
        <w:rPr>
          <w:szCs w:val="24"/>
          <w:lang w:val="es-ES"/>
        </w:rPr>
        <w:t>.</w:t>
      </w:r>
    </w:p>
    <w:p w:rsidR="00B50A97" w:rsidRPr="00F81921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86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3704"/>
        <w:gridCol w:w="2700"/>
      </w:tblGrid>
      <w:tr w:rsidR="00F81921" w:rsidTr="00B67428">
        <w:trPr>
          <w:cantSplit/>
        </w:trPr>
        <w:tc>
          <w:tcPr>
            <w:tcW w:w="2250" w:type="dxa"/>
            <w:shd w:val="pct10" w:color="000000" w:fill="FFFFFF"/>
          </w:tcPr>
          <w:p w:rsidR="00F81921" w:rsidRDefault="00F81921" w:rsidP="004F02D5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Quién</w:t>
            </w:r>
          </w:p>
        </w:tc>
        <w:tc>
          <w:tcPr>
            <w:tcW w:w="3704" w:type="dxa"/>
            <w:shd w:val="pct10" w:color="000000" w:fill="FFFFFF"/>
          </w:tcPr>
          <w:p w:rsidR="00F81921" w:rsidRDefault="00F81921" w:rsidP="004F02D5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Tarea</w:t>
            </w:r>
          </w:p>
        </w:tc>
        <w:tc>
          <w:tcPr>
            <w:tcW w:w="2700" w:type="dxa"/>
            <w:shd w:val="pct10" w:color="000000" w:fill="FFFFFF"/>
          </w:tcPr>
          <w:p w:rsidR="00F81921" w:rsidRDefault="00F81921" w:rsidP="004F02D5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Herramienta</w:t>
            </w:r>
          </w:p>
        </w:tc>
      </w:tr>
      <w:tr w:rsidR="00F81921" w:rsidTr="00B67428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F81921" w:rsidRDefault="00F81921" w:rsidP="004F02D5">
            <w:pPr>
              <w:pStyle w:val="procedurestablestyle"/>
              <w:jc w:val="both"/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Secretaria</w:t>
            </w:r>
            <w:proofErr w:type="spellEnd"/>
            <w:r>
              <w:rPr>
                <w:i/>
                <w:lang w:val="es-ES"/>
              </w:rPr>
              <w:t xml:space="preserve"> administrativa</w:t>
            </w:r>
          </w:p>
        </w:tc>
        <w:tc>
          <w:tcPr>
            <w:tcW w:w="3704" w:type="dxa"/>
            <w:shd w:val="pct5" w:color="000000" w:fill="FFFFFF"/>
          </w:tcPr>
          <w:p w:rsidR="00F81921" w:rsidRDefault="00F81921" w:rsidP="000507D1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Instruye a los investigadores para someter un </w:t>
            </w:r>
            <w:r w:rsidR="000507D1">
              <w:rPr>
                <w:lang w:val="es-ES"/>
              </w:rPr>
              <w:t>R</w:t>
            </w:r>
            <w:r w:rsidR="00B67428">
              <w:rPr>
                <w:lang w:val="es-ES"/>
              </w:rPr>
              <w:t xml:space="preserve">eporte </w:t>
            </w:r>
            <w:r>
              <w:rPr>
                <w:lang w:val="es-ES"/>
              </w:rPr>
              <w:t xml:space="preserve">de </w:t>
            </w:r>
            <w:r w:rsidR="000507D1">
              <w:rPr>
                <w:lang w:val="es-ES"/>
              </w:rPr>
              <w:t>C</w:t>
            </w:r>
            <w:r>
              <w:rPr>
                <w:lang w:val="es-ES"/>
              </w:rPr>
              <w:t xml:space="preserve">onclusión una vez terminado el estudio, conforme a cualquiera de los formatos </w:t>
            </w:r>
            <w:r w:rsidR="00B67428">
              <w:rPr>
                <w:lang w:val="es-ES"/>
              </w:rPr>
              <w:t xml:space="preserve">del </w:t>
            </w:r>
            <w:r>
              <w:rPr>
                <w:lang w:val="es-ES"/>
              </w:rPr>
              <w:t xml:space="preserve">RR 404-A o cualquier otra </w:t>
            </w:r>
            <w:r w:rsidR="00B67428">
              <w:rPr>
                <w:lang w:val="es-ES"/>
              </w:rPr>
              <w:t xml:space="preserve">alternativa aceptable de </w:t>
            </w:r>
            <w:r>
              <w:rPr>
                <w:lang w:val="es-ES"/>
              </w:rPr>
              <w:t xml:space="preserve">notificación </w:t>
            </w:r>
            <w:r w:rsidR="00B67428">
              <w:rPr>
                <w:lang w:val="es-ES"/>
              </w:rPr>
              <w:t>escrita</w:t>
            </w:r>
            <w:r>
              <w:rPr>
                <w:lang w:val="es-ES"/>
              </w:rPr>
              <w:t xml:space="preserve"> </w:t>
            </w:r>
            <w:r w:rsidR="00B67428">
              <w:rPr>
                <w:lang w:val="es-ES"/>
              </w:rPr>
              <w:t>de Conclusión.</w:t>
            </w:r>
          </w:p>
        </w:tc>
        <w:tc>
          <w:tcPr>
            <w:tcW w:w="2700" w:type="dxa"/>
            <w:shd w:val="pct5" w:color="000000" w:fill="FFFFFF"/>
          </w:tcPr>
          <w:p w:rsidR="00F81921" w:rsidRDefault="007223BE" w:rsidP="004F02D5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>Report</w:t>
            </w:r>
            <w:r w:rsidR="00F81921">
              <w:rPr>
                <w:lang w:val="es-ES"/>
              </w:rPr>
              <w:t>e de Revisión Continua</w:t>
            </w:r>
            <w:r w:rsidR="00B67428">
              <w:rPr>
                <w:lang w:val="es-ES"/>
              </w:rPr>
              <w:t xml:space="preserve"> </w:t>
            </w:r>
            <w:r w:rsidR="00F81921">
              <w:rPr>
                <w:lang w:val="es-ES"/>
              </w:rPr>
              <w:t>/</w:t>
            </w:r>
            <w:r w:rsidR="00B67428">
              <w:rPr>
                <w:lang w:val="es-ES"/>
              </w:rPr>
              <w:t xml:space="preserve"> Solicitud</w:t>
            </w:r>
            <w:r w:rsidR="00F81921">
              <w:rPr>
                <w:lang w:val="es-ES"/>
              </w:rPr>
              <w:t xml:space="preserve"> de renovación</w:t>
            </w:r>
          </w:p>
          <w:p w:rsidR="004F02D5" w:rsidRDefault="004F02D5" w:rsidP="004F02D5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>RR 404-A</w:t>
            </w:r>
          </w:p>
        </w:tc>
      </w:tr>
      <w:tr w:rsidR="00F81921" w:rsidTr="00B67428">
        <w:trPr>
          <w:cantSplit/>
        </w:trPr>
        <w:tc>
          <w:tcPr>
            <w:tcW w:w="2250" w:type="dxa"/>
            <w:shd w:val="pct5" w:color="000000" w:fill="FFFFFF"/>
          </w:tcPr>
          <w:p w:rsidR="00F81921" w:rsidRDefault="00F81921" w:rsidP="004F02D5">
            <w:pPr>
              <w:pStyle w:val="procedurestablestyle"/>
              <w:jc w:val="both"/>
              <w:rPr>
                <w:lang w:val="es-ES"/>
              </w:rPr>
            </w:pPr>
            <w:r>
              <w:rPr>
                <w:i/>
                <w:lang w:val="es-ES"/>
              </w:rPr>
              <w:lastRenderedPageBreak/>
              <w:t xml:space="preserve">Presidente del </w:t>
            </w:r>
            <w:r w:rsidR="00A8072F">
              <w:rPr>
                <w:i/>
                <w:lang w:val="es-ES"/>
              </w:rPr>
              <w:t>CEI</w:t>
            </w:r>
            <w:r>
              <w:rPr>
                <w:i/>
                <w:lang w:val="es-ES"/>
              </w:rPr>
              <w:t xml:space="preserve"> </w:t>
            </w:r>
            <w:r w:rsidR="000507D1">
              <w:rPr>
                <w:i/>
                <w:lang w:val="es-ES"/>
              </w:rPr>
              <w:t>o Revisor E</w:t>
            </w:r>
            <w:r w:rsidR="004F02D5">
              <w:rPr>
                <w:i/>
                <w:lang w:val="es-ES"/>
              </w:rPr>
              <w:t>xpedito</w:t>
            </w:r>
          </w:p>
        </w:tc>
        <w:tc>
          <w:tcPr>
            <w:tcW w:w="3704" w:type="dxa"/>
            <w:shd w:val="pct5" w:color="000000" w:fill="FFFFFF"/>
          </w:tcPr>
          <w:p w:rsidR="00F81921" w:rsidRDefault="00F81921" w:rsidP="004F02D5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>Revisa</w:t>
            </w:r>
            <w:r w:rsidR="00B67428">
              <w:rPr>
                <w:lang w:val="es-ES"/>
              </w:rPr>
              <w:t xml:space="preserve">r el Reporte </w:t>
            </w:r>
            <w:r>
              <w:rPr>
                <w:lang w:val="es-ES"/>
              </w:rPr>
              <w:t xml:space="preserve">de Conclusión/ </w:t>
            </w:r>
            <w:r w:rsidR="00B67428">
              <w:rPr>
                <w:lang w:val="es-ES"/>
              </w:rPr>
              <w:t xml:space="preserve">Cierre </w:t>
            </w:r>
            <w:r>
              <w:rPr>
                <w:lang w:val="es-ES"/>
              </w:rPr>
              <w:t>y obtene</w:t>
            </w:r>
            <w:r w:rsidR="00B67428">
              <w:rPr>
                <w:lang w:val="es-ES"/>
              </w:rPr>
              <w:t>r</w:t>
            </w:r>
            <w:r>
              <w:rPr>
                <w:lang w:val="es-ES"/>
              </w:rPr>
              <w:t xml:space="preserve"> </w:t>
            </w:r>
            <w:r w:rsidR="00B67428">
              <w:rPr>
                <w:lang w:val="es-ES"/>
              </w:rPr>
              <w:t xml:space="preserve">del investigador </w:t>
            </w:r>
            <w:r>
              <w:rPr>
                <w:lang w:val="es-ES"/>
              </w:rPr>
              <w:t>cualquier información o documentación pendiente para cerrar el estudio.  Si hubiera inconsistencias o si es necesaria alguna aclaración, solicita</w:t>
            </w:r>
            <w:r w:rsidR="00B67428">
              <w:rPr>
                <w:lang w:val="es-ES"/>
              </w:rPr>
              <w:t>r</w:t>
            </w:r>
            <w:r>
              <w:rPr>
                <w:lang w:val="es-ES"/>
              </w:rPr>
              <w:t xml:space="preserve"> información adicional.</w:t>
            </w:r>
          </w:p>
          <w:p w:rsidR="00F81921" w:rsidRDefault="00F81921" w:rsidP="004F02D5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Si el estudio puede ser cerrado y el contenido del archivo del </w:t>
            </w:r>
            <w:r w:rsidR="00A8072F">
              <w:rPr>
                <w:lang w:val="es-ES"/>
              </w:rPr>
              <w:t>CEI</w:t>
            </w:r>
            <w:r w:rsidR="000055FF">
              <w:rPr>
                <w:lang w:val="es-ES"/>
              </w:rPr>
              <w:t xml:space="preserve"> </w:t>
            </w:r>
            <w:r>
              <w:rPr>
                <w:lang w:val="es-ES"/>
              </w:rPr>
              <w:t>está  completo, autoriza</w:t>
            </w:r>
            <w:r w:rsidR="00B67428">
              <w:rPr>
                <w:lang w:val="es-ES"/>
              </w:rPr>
              <w:t>r</w:t>
            </w:r>
            <w:r>
              <w:rPr>
                <w:lang w:val="es-ES"/>
              </w:rPr>
              <w:t xml:space="preserve"> el cierre del estudio.</w:t>
            </w:r>
          </w:p>
          <w:p w:rsidR="00F81921" w:rsidRDefault="00F81921" w:rsidP="000055FF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>Hace</w:t>
            </w:r>
            <w:r w:rsidR="00B67428">
              <w:rPr>
                <w:lang w:val="es-ES"/>
              </w:rPr>
              <w:t>r</w:t>
            </w:r>
            <w:r>
              <w:rPr>
                <w:lang w:val="es-ES"/>
              </w:rPr>
              <w:t xml:space="preserve"> una lista de los estudios terminados para la presentación al </w:t>
            </w:r>
            <w:r w:rsidR="00A8072F">
              <w:rPr>
                <w:lang w:val="es-ES"/>
              </w:rPr>
              <w:t>CEI</w:t>
            </w:r>
            <w:r w:rsidR="000055FF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en su siguiente junta.</w:t>
            </w:r>
          </w:p>
        </w:tc>
        <w:tc>
          <w:tcPr>
            <w:tcW w:w="2700" w:type="dxa"/>
            <w:shd w:val="pct5" w:color="000000" w:fill="FFFFFF"/>
          </w:tcPr>
          <w:p w:rsidR="00F81921" w:rsidRDefault="00F81921" w:rsidP="004F02D5">
            <w:pPr>
              <w:pStyle w:val="procedurestablestyle"/>
              <w:spacing w:before="60" w:after="0"/>
              <w:jc w:val="both"/>
              <w:outlineLvl w:val="9"/>
              <w:rPr>
                <w:lang w:val="es-ES"/>
              </w:rPr>
            </w:pPr>
            <w:r>
              <w:rPr>
                <w:lang w:val="es-ES"/>
              </w:rPr>
              <w:t>Hoja de trabajo de la Revisión Continua</w:t>
            </w:r>
          </w:p>
          <w:p w:rsidR="00F81921" w:rsidRDefault="00F81921" w:rsidP="004F02D5">
            <w:pPr>
              <w:pStyle w:val="procedurestablestyle"/>
              <w:spacing w:before="60" w:after="0"/>
              <w:jc w:val="both"/>
              <w:outlineLvl w:val="9"/>
              <w:rPr>
                <w:lang w:val="es-ES"/>
              </w:rPr>
            </w:pPr>
            <w:r>
              <w:rPr>
                <w:lang w:val="es-ES"/>
              </w:rPr>
              <w:t xml:space="preserve">FO 305-A Lista de </w:t>
            </w:r>
            <w:r w:rsidR="00B67428">
              <w:rPr>
                <w:lang w:val="es-ES"/>
              </w:rPr>
              <w:t>verificación del Contenido del la C</w:t>
            </w:r>
            <w:r>
              <w:rPr>
                <w:lang w:val="es-ES"/>
              </w:rPr>
              <w:t xml:space="preserve">arpeta del Estudio </w:t>
            </w:r>
          </w:p>
          <w:p w:rsidR="00F81921" w:rsidRDefault="00F81921" w:rsidP="004F02D5">
            <w:pPr>
              <w:pStyle w:val="procedurestablestyle"/>
              <w:jc w:val="both"/>
              <w:rPr>
                <w:lang w:val="es-ES"/>
              </w:rPr>
            </w:pPr>
          </w:p>
        </w:tc>
      </w:tr>
      <w:tr w:rsidR="00F81921" w:rsidTr="00B67428">
        <w:trPr>
          <w:cantSplit/>
        </w:trPr>
        <w:tc>
          <w:tcPr>
            <w:tcW w:w="2250" w:type="dxa"/>
            <w:shd w:val="pct5" w:color="000000" w:fill="FFFFFF"/>
          </w:tcPr>
          <w:p w:rsidR="00F81921" w:rsidRDefault="00B67428" w:rsidP="004F02D5">
            <w:pPr>
              <w:pStyle w:val="procedurestablestyle"/>
              <w:jc w:val="both"/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Secretaria</w:t>
            </w:r>
            <w:proofErr w:type="spellEnd"/>
            <w:r>
              <w:rPr>
                <w:i/>
                <w:lang w:val="es-ES"/>
              </w:rPr>
              <w:t xml:space="preserve"> A</w:t>
            </w:r>
            <w:r w:rsidR="00F81921">
              <w:rPr>
                <w:i/>
                <w:lang w:val="es-ES"/>
              </w:rPr>
              <w:t>dministrativa</w:t>
            </w:r>
          </w:p>
        </w:tc>
        <w:tc>
          <w:tcPr>
            <w:tcW w:w="3704" w:type="dxa"/>
            <w:shd w:val="pct5" w:color="000000" w:fill="FFFFFF"/>
          </w:tcPr>
          <w:p w:rsidR="00F81921" w:rsidRDefault="00B67428" w:rsidP="004F02D5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>Conducir el s</w:t>
            </w:r>
            <w:r w:rsidR="00F81921">
              <w:rPr>
                <w:lang w:val="es-ES"/>
              </w:rPr>
              <w:t xml:space="preserve">eguimiento </w:t>
            </w:r>
            <w:r>
              <w:rPr>
                <w:lang w:val="es-ES"/>
              </w:rPr>
              <w:t xml:space="preserve">de acuerdo a las </w:t>
            </w:r>
            <w:r w:rsidR="00F81921">
              <w:rPr>
                <w:lang w:val="es-ES"/>
              </w:rPr>
              <w:t xml:space="preserve">instrucciones del administrador.  </w:t>
            </w:r>
          </w:p>
          <w:p w:rsidR="00F81921" w:rsidRDefault="00F81921" w:rsidP="004F02D5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>Si el estudio puede ser cerrado, env</w:t>
            </w:r>
            <w:r w:rsidR="00B67428">
              <w:rPr>
                <w:lang w:val="es-ES"/>
              </w:rPr>
              <w:t>iar</w:t>
            </w:r>
            <w:r>
              <w:rPr>
                <w:lang w:val="es-ES"/>
              </w:rPr>
              <w:t xml:space="preserve"> </w:t>
            </w:r>
            <w:r w:rsidR="00B67428">
              <w:rPr>
                <w:lang w:val="es-ES"/>
              </w:rPr>
              <w:t>la</w:t>
            </w:r>
            <w:r>
              <w:rPr>
                <w:lang w:val="es-ES"/>
              </w:rPr>
              <w:t xml:space="preserve"> </w:t>
            </w:r>
            <w:r w:rsidR="00B67428">
              <w:rPr>
                <w:lang w:val="es-ES"/>
              </w:rPr>
              <w:t>contestación / notificación de</w:t>
            </w:r>
            <w:r w:rsidR="007223BE">
              <w:rPr>
                <w:lang w:val="es-ES"/>
              </w:rPr>
              <w:t xml:space="preserve"> la fina</w:t>
            </w:r>
            <w:r w:rsidR="00B67428">
              <w:rPr>
                <w:lang w:val="es-ES"/>
              </w:rPr>
              <w:t>l</w:t>
            </w:r>
            <w:r w:rsidR="007223BE">
              <w:rPr>
                <w:lang w:val="es-ES"/>
              </w:rPr>
              <w:t>ización</w:t>
            </w:r>
            <w:r>
              <w:rPr>
                <w:lang w:val="es-ES"/>
              </w:rPr>
              <w:t>.</w:t>
            </w:r>
          </w:p>
          <w:p w:rsidR="00F81921" w:rsidRDefault="00F81921" w:rsidP="004F02D5">
            <w:pPr>
              <w:pStyle w:val="procedurestablestyle"/>
              <w:jc w:val="both"/>
              <w:rPr>
                <w:lang w:val="es-ES"/>
              </w:rPr>
            </w:pPr>
          </w:p>
        </w:tc>
        <w:tc>
          <w:tcPr>
            <w:tcW w:w="2700" w:type="dxa"/>
            <w:shd w:val="pct5" w:color="000000" w:fill="FFFFFF"/>
          </w:tcPr>
          <w:p w:rsidR="00F81921" w:rsidRDefault="00F81921" w:rsidP="004F02D5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 601-L </w:t>
            </w:r>
            <w:r w:rsidR="00B67428">
              <w:rPr>
                <w:lang w:val="es-ES"/>
              </w:rPr>
              <w:t>Contestación</w:t>
            </w:r>
            <w:r w:rsidR="007223BE">
              <w:rPr>
                <w:lang w:val="es-ES"/>
              </w:rPr>
              <w:t xml:space="preserve"> de Finalización </w:t>
            </w:r>
            <w:r>
              <w:rPr>
                <w:lang w:val="es-ES"/>
              </w:rPr>
              <w:t>/</w:t>
            </w:r>
            <w:r w:rsidR="007223BE">
              <w:rPr>
                <w:lang w:val="es-ES"/>
              </w:rPr>
              <w:t xml:space="preserve"> </w:t>
            </w:r>
            <w:r>
              <w:rPr>
                <w:lang w:val="es-ES"/>
              </w:rPr>
              <w:t>Terminación, Cierre</w:t>
            </w:r>
          </w:p>
          <w:p w:rsidR="00F81921" w:rsidRDefault="00F81921" w:rsidP="007223BE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FO 305-B Lista de </w:t>
            </w:r>
            <w:r w:rsidR="007223BE">
              <w:rPr>
                <w:lang w:val="es-ES"/>
              </w:rPr>
              <w:t>verificación de</w:t>
            </w:r>
            <w:r>
              <w:rPr>
                <w:lang w:val="es-ES"/>
              </w:rPr>
              <w:t>l Procedimiento de Archivo.</w:t>
            </w:r>
          </w:p>
        </w:tc>
      </w:tr>
    </w:tbl>
    <w:p w:rsidR="001C0FC1" w:rsidRPr="00F81921" w:rsidRDefault="001C0FC1" w:rsidP="00DB53D2">
      <w:pPr>
        <w:jc w:val="both"/>
        <w:rPr>
          <w:rFonts w:ascii="Arial" w:hAnsi="Arial" w:cs="Arial"/>
          <w:b/>
        </w:rPr>
      </w:pPr>
    </w:p>
    <w:p w:rsidR="001C0FC1" w:rsidRPr="00F81921" w:rsidRDefault="001C0FC1" w:rsidP="00DB53D2">
      <w:pPr>
        <w:jc w:val="both"/>
        <w:rPr>
          <w:rFonts w:ascii="Arial" w:hAnsi="Arial" w:cs="Arial"/>
          <w:b/>
        </w:rPr>
      </w:pP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VI. MATERIALES</w:t>
      </w:r>
    </w:p>
    <w:p w:rsidR="003D3DE3" w:rsidRPr="00F81921" w:rsidRDefault="003D3DE3" w:rsidP="00DB53D2">
      <w:pPr>
        <w:jc w:val="both"/>
        <w:rPr>
          <w:rFonts w:ascii="Arial" w:hAnsi="Arial" w:cs="Arial"/>
          <w:b/>
        </w:rPr>
      </w:pPr>
    </w:p>
    <w:p w:rsidR="007223BE" w:rsidRDefault="002D3312" w:rsidP="007223BE">
      <w:pPr>
        <w:pStyle w:val="procedurestablestyle"/>
        <w:ind w:firstLine="378"/>
        <w:jc w:val="both"/>
        <w:rPr>
          <w:lang w:val="es-ES"/>
        </w:rPr>
      </w:pPr>
      <w:r w:rsidRPr="007223BE">
        <w:rPr>
          <w:lang w:val="es-MX"/>
        </w:rPr>
        <w:t>RR 405</w:t>
      </w:r>
      <w:r w:rsidR="00F81921" w:rsidRPr="007223BE">
        <w:rPr>
          <w:lang w:val="es-MX"/>
        </w:rPr>
        <w:t xml:space="preserve">-A  </w:t>
      </w:r>
      <w:r w:rsidR="007223BE">
        <w:rPr>
          <w:lang w:val="es-ES"/>
        </w:rPr>
        <w:t>Reporte de Re</w:t>
      </w:r>
      <w:r w:rsidR="000507D1">
        <w:rPr>
          <w:lang w:val="es-ES"/>
        </w:rPr>
        <w:t>visión Continua / Solicitud de R</w:t>
      </w:r>
      <w:r w:rsidR="007223BE">
        <w:rPr>
          <w:lang w:val="es-ES"/>
        </w:rPr>
        <w:t>enovación</w:t>
      </w:r>
    </w:p>
    <w:p w:rsidR="0084626A" w:rsidRPr="00F81921" w:rsidRDefault="002D3312" w:rsidP="00F81921">
      <w:pPr>
        <w:ind w:firstLine="37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RR 405</w:t>
      </w:r>
      <w:r w:rsidR="00F81921">
        <w:rPr>
          <w:rFonts w:ascii="Arial" w:hAnsi="Arial" w:cs="Arial"/>
        </w:rPr>
        <w:t>-B  Formato de Revisión Continu</w:t>
      </w:r>
      <w:r w:rsidR="007223BE">
        <w:rPr>
          <w:rFonts w:ascii="Arial" w:hAnsi="Arial" w:cs="Arial"/>
        </w:rPr>
        <w:t>a</w:t>
      </w:r>
    </w:p>
    <w:p w:rsidR="00B50A97" w:rsidRPr="00F81921" w:rsidRDefault="00B50A97" w:rsidP="00DB53D2">
      <w:pPr>
        <w:jc w:val="both"/>
        <w:rPr>
          <w:rFonts w:ascii="Arial" w:hAnsi="Arial" w:cs="Arial"/>
          <w:b/>
        </w:rPr>
      </w:pPr>
    </w:p>
    <w:p w:rsidR="00830631" w:rsidRPr="00F81921" w:rsidRDefault="00830631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VII. LIGAS DE INTERES</w:t>
      </w:r>
      <w:r w:rsidR="002E2FEC" w:rsidRPr="00F81921">
        <w:rPr>
          <w:rFonts w:ascii="Arial" w:hAnsi="Arial" w:cs="Arial"/>
          <w:b/>
        </w:rPr>
        <w:t xml:space="preserve"> O DE DESCARGA</w:t>
      </w:r>
    </w:p>
    <w:p w:rsidR="00985FCE" w:rsidRPr="00F81921" w:rsidRDefault="00985FCE" w:rsidP="00DB53D2">
      <w:pPr>
        <w:jc w:val="both"/>
        <w:rPr>
          <w:rFonts w:ascii="Arial" w:hAnsi="Arial" w:cs="Arial"/>
          <w:b/>
        </w:rPr>
      </w:pPr>
    </w:p>
    <w:p w:rsidR="003711D6" w:rsidRPr="00F81921" w:rsidRDefault="00CB37E8" w:rsidP="00F81921">
      <w:pPr>
        <w:pStyle w:val="Default"/>
        <w:ind w:firstLine="708"/>
        <w:rPr>
          <w:rFonts w:ascii="Arial" w:hAnsi="Arial" w:cs="Arial"/>
          <w:color w:val="auto"/>
        </w:rPr>
      </w:pPr>
      <w:r w:rsidRPr="00F81921">
        <w:rPr>
          <w:rFonts w:ascii="Arial" w:hAnsi="Arial" w:cs="Arial"/>
          <w:color w:val="auto"/>
        </w:rPr>
        <w:t xml:space="preserve">VII.1 </w:t>
      </w:r>
      <w:r w:rsidR="00F81921" w:rsidRPr="00F81921">
        <w:rPr>
          <w:rFonts w:ascii="Arial" w:hAnsi="Arial" w:cs="Arial"/>
          <w:bCs/>
          <w:color w:val="auto"/>
        </w:rPr>
        <w:t>Códi</w:t>
      </w:r>
      <w:r w:rsidR="00F81921">
        <w:rPr>
          <w:rFonts w:ascii="Arial" w:hAnsi="Arial" w:cs="Arial"/>
          <w:bCs/>
          <w:color w:val="auto"/>
        </w:rPr>
        <w:t>go federal de regulación 21 CFR 56.108</w:t>
      </w:r>
    </w:p>
    <w:p w:rsidR="00F81921" w:rsidRPr="00F81921" w:rsidRDefault="007D581B" w:rsidP="007223BE">
      <w:pPr>
        <w:ind w:left="708"/>
        <w:jc w:val="both"/>
        <w:rPr>
          <w:rFonts w:ascii="Arial" w:hAnsi="Arial" w:cs="Arial"/>
        </w:rPr>
      </w:pPr>
      <w:hyperlink r:id="rId8" w:history="1">
        <w:r w:rsidR="007223BE" w:rsidRPr="00517522">
          <w:rPr>
            <w:rStyle w:val="Hipervnculo"/>
            <w:rFonts w:ascii="Arial" w:hAnsi="Arial" w:cs="Arial"/>
          </w:rPr>
          <w:t>http://www.accessdata.fda.gov/scripts/cdrh/cfdocs/cfcfr/CFRSearch.cfm?fr=56.108</w:t>
        </w:r>
      </w:hyperlink>
    </w:p>
    <w:p w:rsidR="009159FF" w:rsidRPr="008B70CC" w:rsidRDefault="009159FF" w:rsidP="0020729E">
      <w:pPr>
        <w:jc w:val="both"/>
        <w:rPr>
          <w:rFonts w:ascii="Arial" w:hAnsi="Arial" w:cs="Arial"/>
        </w:rPr>
      </w:pPr>
    </w:p>
    <w:p w:rsidR="00637B09" w:rsidRPr="008B70CC" w:rsidRDefault="00637B09" w:rsidP="0020729E">
      <w:pPr>
        <w:jc w:val="both"/>
        <w:rPr>
          <w:rFonts w:ascii="Arial" w:hAnsi="Arial" w:cs="Arial"/>
        </w:rPr>
      </w:pPr>
    </w:p>
    <w:p w:rsidR="0084626A" w:rsidRPr="008B70CC" w:rsidRDefault="0084626A" w:rsidP="0020729E">
      <w:pPr>
        <w:jc w:val="both"/>
        <w:rPr>
          <w:rFonts w:ascii="Arial" w:hAnsi="Arial" w:cs="Arial"/>
        </w:rPr>
      </w:pPr>
    </w:p>
    <w:p w:rsidR="00CB37E8" w:rsidRPr="008B70CC" w:rsidRDefault="00CB37E8" w:rsidP="009C4C4B">
      <w:pPr>
        <w:jc w:val="both"/>
        <w:rPr>
          <w:rFonts w:ascii="Arial" w:hAnsi="Arial" w:cs="Arial"/>
        </w:rPr>
      </w:pPr>
    </w:p>
    <w:p w:rsidR="00803517" w:rsidRPr="008B70CC" w:rsidRDefault="00803517" w:rsidP="00DB53D2">
      <w:pPr>
        <w:jc w:val="both"/>
        <w:rPr>
          <w:rFonts w:ascii="Arial" w:hAnsi="Arial" w:cs="Arial"/>
          <w:b/>
        </w:rPr>
      </w:pPr>
    </w:p>
    <w:p w:rsidR="00803517" w:rsidRPr="00F81921" w:rsidRDefault="00803517" w:rsidP="00DB53D2">
      <w:pPr>
        <w:jc w:val="both"/>
        <w:rPr>
          <w:rFonts w:ascii="Arial" w:hAnsi="Arial" w:cs="Arial"/>
          <w:b/>
        </w:rPr>
      </w:pPr>
      <w:r w:rsidRPr="00F81921">
        <w:rPr>
          <w:rFonts w:ascii="Arial" w:hAnsi="Arial" w:cs="Arial"/>
          <w:b/>
        </w:rPr>
        <w:t>VI</w:t>
      </w:r>
      <w:r w:rsidR="00830631" w:rsidRPr="00F81921">
        <w:rPr>
          <w:rFonts w:ascii="Arial" w:hAnsi="Arial" w:cs="Arial"/>
          <w:b/>
        </w:rPr>
        <w:t>I</w:t>
      </w:r>
      <w:r w:rsidRPr="00F81921">
        <w:rPr>
          <w:rFonts w:ascii="Arial" w:hAnsi="Arial" w:cs="Arial"/>
          <w:b/>
        </w:rPr>
        <w:t>I. REFERENCIAS</w:t>
      </w:r>
    </w:p>
    <w:p w:rsidR="003711D6" w:rsidRPr="00F81921" w:rsidRDefault="003711D6" w:rsidP="0066775B">
      <w:pPr>
        <w:pStyle w:val="level1bodystyle"/>
        <w:ind w:left="1080"/>
        <w:jc w:val="both"/>
        <w:rPr>
          <w:szCs w:val="24"/>
          <w:lang w:val="es-ES"/>
        </w:rPr>
      </w:pPr>
    </w:p>
    <w:p w:rsidR="00F81921" w:rsidRDefault="00F81921" w:rsidP="00F81921">
      <w:pPr>
        <w:pStyle w:val="level1bodystyle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21 CFR 56.108, 56.109</w:t>
      </w:r>
    </w:p>
    <w:p w:rsidR="00F81921" w:rsidRDefault="00F81921" w:rsidP="00F81921">
      <w:pPr>
        <w:pStyle w:val="level1bodystyle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45 CFR 46.103, 46.109</w:t>
      </w:r>
    </w:p>
    <w:p w:rsidR="00562240" w:rsidRDefault="00562240" w:rsidP="00F81921">
      <w:pPr>
        <w:pStyle w:val="level1bodystyle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Ley General de Salud con </w:t>
      </w:r>
      <w:r w:rsidRPr="00562240">
        <w:rPr>
          <w:lang w:val="es-ES"/>
        </w:rPr>
        <w:t>su Articulo</w:t>
      </w:r>
      <w:r w:rsidR="007223BE">
        <w:rPr>
          <w:lang w:val="es-ES"/>
        </w:rPr>
        <w:t xml:space="preserve"> </w:t>
      </w:r>
      <w:r w:rsidR="007223BE">
        <w:rPr>
          <w:color w:val="000000"/>
          <w:lang w:val="es-MX"/>
        </w:rPr>
        <w:t>64 fracciones</w:t>
      </w:r>
      <w:r w:rsidRPr="008B70CC">
        <w:rPr>
          <w:color w:val="000000"/>
          <w:lang w:val="es-MX"/>
        </w:rPr>
        <w:t xml:space="preserve"> III, IV</w:t>
      </w:r>
      <w:r w:rsidR="007223BE">
        <w:rPr>
          <w:color w:val="000000"/>
          <w:lang w:val="es-MX"/>
        </w:rPr>
        <w:t xml:space="preserve"> y </w:t>
      </w:r>
      <w:r w:rsidRPr="008B70CC">
        <w:rPr>
          <w:color w:val="000000"/>
          <w:lang w:val="es-MX"/>
        </w:rPr>
        <w:t>V, Articulo 18</w:t>
      </w:r>
    </w:p>
    <w:p w:rsidR="0066775B" w:rsidRPr="00F81921" w:rsidRDefault="006401B4" w:rsidP="00351E7B">
      <w:pPr>
        <w:pStyle w:val="level1bodystyle"/>
        <w:numPr>
          <w:ilvl w:val="0"/>
          <w:numId w:val="1"/>
        </w:numPr>
        <w:jc w:val="both"/>
        <w:rPr>
          <w:b/>
          <w:szCs w:val="24"/>
          <w:lang w:val="es-ES"/>
        </w:rPr>
      </w:pPr>
      <w:r w:rsidRPr="00F81921">
        <w:rPr>
          <w:szCs w:val="24"/>
          <w:lang w:val="es-MX"/>
        </w:rPr>
        <w:t>Referencia de la AAHRPP</w:t>
      </w:r>
      <w:r w:rsidR="00E81964" w:rsidRPr="00F81921">
        <w:rPr>
          <w:szCs w:val="24"/>
          <w:lang w:val="es-MX"/>
        </w:rPr>
        <w:t xml:space="preserve">. </w:t>
      </w:r>
      <w:r w:rsidR="001C0FC1" w:rsidRPr="00F81921">
        <w:rPr>
          <w:szCs w:val="24"/>
          <w:lang w:val="es-MX"/>
        </w:rPr>
        <w:t xml:space="preserve">Elementos </w:t>
      </w:r>
      <w:r w:rsidR="00637B09" w:rsidRPr="008B70CC">
        <w:rPr>
          <w:lang w:val="es-MX"/>
        </w:rPr>
        <w:t>II.2.D.</w:t>
      </w:r>
      <w:r w:rsidR="000055FF" w:rsidRPr="008B70CC">
        <w:rPr>
          <w:lang w:val="es-MX"/>
        </w:rPr>
        <w:t>, II.2.G.</w:t>
      </w:r>
    </w:p>
    <w:p w:rsidR="002C50B9" w:rsidRPr="00F81921" w:rsidRDefault="002C50B9" w:rsidP="00DC3C44">
      <w:pPr>
        <w:spacing w:after="200" w:line="276" w:lineRule="auto"/>
        <w:rPr>
          <w:rFonts w:ascii="Arial" w:hAnsi="Arial" w:cs="Arial"/>
          <w:bCs/>
          <w:lang w:val="es-ES_tradnl"/>
        </w:rPr>
      </w:pPr>
      <w:bookmarkStart w:id="0" w:name="_GoBack"/>
      <w:bookmarkEnd w:id="0"/>
    </w:p>
    <w:sectPr w:rsidR="002C50B9" w:rsidRPr="00F81921" w:rsidSect="009F0653">
      <w:headerReference w:type="default" r:id="rId9"/>
      <w:footerReference w:type="default" r:id="rId10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D9" w:rsidRDefault="00DC05D9" w:rsidP="00CB37E8">
      <w:r>
        <w:separator/>
      </w:r>
    </w:p>
  </w:endnote>
  <w:endnote w:type="continuationSeparator" w:id="0">
    <w:p w:rsidR="00DC05D9" w:rsidRDefault="00DC05D9" w:rsidP="00CB3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2739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7223BE" w:rsidRDefault="007223BE">
            <w:pPr>
              <w:pStyle w:val="Piedepgina"/>
              <w:jc w:val="right"/>
            </w:pPr>
            <w:r>
              <w:t xml:space="preserve">Página </w:t>
            </w:r>
            <w:r w:rsidR="007D581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D581B">
              <w:rPr>
                <w:b/>
              </w:rPr>
              <w:fldChar w:fldCharType="separate"/>
            </w:r>
            <w:r w:rsidR="00A8072F">
              <w:rPr>
                <w:b/>
                <w:noProof/>
              </w:rPr>
              <w:t>6</w:t>
            </w:r>
            <w:r w:rsidR="007D581B">
              <w:rPr>
                <w:b/>
              </w:rPr>
              <w:fldChar w:fldCharType="end"/>
            </w:r>
            <w:r>
              <w:t xml:space="preserve"> de </w:t>
            </w:r>
            <w:r w:rsidR="007D581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D581B">
              <w:rPr>
                <w:b/>
              </w:rPr>
              <w:fldChar w:fldCharType="separate"/>
            </w:r>
            <w:r w:rsidR="00A8072F">
              <w:rPr>
                <w:b/>
                <w:noProof/>
              </w:rPr>
              <w:t>6</w:t>
            </w:r>
            <w:r w:rsidR="007D581B">
              <w:rPr>
                <w:b/>
              </w:rPr>
              <w:fldChar w:fldCharType="end"/>
            </w:r>
          </w:p>
        </w:sdtContent>
      </w:sdt>
    </w:sdtContent>
  </w:sdt>
  <w:p w:rsidR="007223BE" w:rsidRDefault="007223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D9" w:rsidRDefault="00DC05D9" w:rsidP="00CB37E8">
      <w:r>
        <w:separator/>
      </w:r>
    </w:p>
  </w:footnote>
  <w:footnote w:type="continuationSeparator" w:id="0">
    <w:p w:rsidR="00DC05D9" w:rsidRDefault="00DC05D9" w:rsidP="00CB3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3BE" w:rsidRDefault="007223BE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/>
    </w:tblPr>
    <w:tblGrid>
      <w:gridCol w:w="2165"/>
      <w:gridCol w:w="1165"/>
      <w:gridCol w:w="1422"/>
      <w:gridCol w:w="2016"/>
      <w:gridCol w:w="2288"/>
    </w:tblGrid>
    <w:tr w:rsidR="007223BE" w:rsidTr="007A5DCE">
      <w:trPr>
        <w:trHeight w:val="410"/>
      </w:trPr>
      <w:tc>
        <w:tcPr>
          <w:tcW w:w="1196" w:type="pct"/>
          <w:vMerge w:val="restart"/>
        </w:tcPr>
        <w:p w:rsidR="007223BE" w:rsidRDefault="007223BE" w:rsidP="007A5DCE">
          <w:pPr>
            <w:rPr>
              <w:sz w:val="10"/>
            </w:rPr>
          </w:pPr>
        </w:p>
        <w:p w:rsidR="007223BE" w:rsidRDefault="007223BE" w:rsidP="007A5DCE">
          <w:pPr>
            <w:rPr>
              <w:rFonts w:ascii="Arial" w:hAnsi="Arial" w:cs="Arial"/>
              <w:sz w:val="12"/>
            </w:rPr>
          </w:pPr>
        </w:p>
        <w:p w:rsidR="007223BE" w:rsidRDefault="007223BE" w:rsidP="007A5DCE">
          <w:pPr>
            <w:rPr>
              <w:rFonts w:ascii="Arial" w:hAnsi="Arial" w:cs="Arial"/>
              <w:sz w:val="12"/>
            </w:rPr>
          </w:pPr>
        </w:p>
        <w:p w:rsidR="007223BE" w:rsidRDefault="007223BE" w:rsidP="007A5DCE">
          <w:pPr>
            <w:rPr>
              <w:rFonts w:ascii="Arial" w:hAnsi="Arial" w:cs="Arial"/>
              <w:sz w:val="12"/>
            </w:rPr>
          </w:pPr>
        </w:p>
        <w:p w:rsidR="007223BE" w:rsidRDefault="007223BE" w:rsidP="007A5DCE">
          <w:pPr>
            <w:rPr>
              <w:rFonts w:ascii="Arial" w:hAnsi="Arial" w:cs="Arial"/>
              <w:sz w:val="12"/>
            </w:rPr>
          </w:pPr>
        </w:p>
        <w:p w:rsidR="007223BE" w:rsidRDefault="007223BE" w:rsidP="007A5DCE">
          <w:pPr>
            <w:rPr>
              <w:rFonts w:ascii="Arial" w:hAnsi="Arial" w:cs="Arial"/>
              <w:sz w:val="12"/>
            </w:rPr>
          </w:pPr>
        </w:p>
        <w:p w:rsidR="007223BE" w:rsidRDefault="007223BE" w:rsidP="007A5DCE">
          <w:pPr>
            <w:rPr>
              <w:rFonts w:ascii="Arial" w:hAnsi="Arial" w:cs="Arial"/>
              <w:sz w:val="12"/>
            </w:rPr>
          </w:pPr>
        </w:p>
        <w:p w:rsidR="00A8072F" w:rsidRDefault="00A8072F" w:rsidP="00A8072F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es-MX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4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A8072F" w:rsidRDefault="00A8072F" w:rsidP="00A8072F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7223BE" w:rsidRPr="00DB53D2" w:rsidRDefault="00A8072F" w:rsidP="00A8072F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7223BE" w:rsidRDefault="007223BE" w:rsidP="005C7308">
          <w:r>
            <w:rPr>
              <w:rFonts w:ascii="Arial" w:hAnsi="Arial" w:cs="Arial"/>
              <w:b/>
              <w:caps/>
              <w:lang w:val="es-MX"/>
            </w:rPr>
            <w:t xml:space="preserve">SOP:         </w:t>
          </w:r>
          <w:r>
            <w:rPr>
              <w:rFonts w:ascii="Arial" w:hAnsi="Arial" w:cs="Arial"/>
              <w:b/>
              <w:caps/>
            </w:rPr>
            <w:t xml:space="preserve">  conclusión del estudio</w:t>
          </w:r>
        </w:p>
      </w:tc>
    </w:tr>
    <w:tr w:rsidR="007223BE" w:rsidTr="007A5DCE">
      <w:trPr>
        <w:trHeight w:val="343"/>
      </w:trPr>
      <w:tc>
        <w:tcPr>
          <w:tcW w:w="1196" w:type="pct"/>
          <w:vMerge/>
        </w:tcPr>
        <w:p w:rsidR="007223BE" w:rsidRDefault="007223BE" w:rsidP="007A5DCE"/>
      </w:tc>
      <w:tc>
        <w:tcPr>
          <w:tcW w:w="643" w:type="pct"/>
        </w:tcPr>
        <w:p w:rsidR="007223BE" w:rsidRPr="00803517" w:rsidRDefault="007223BE" w:rsidP="007A5DC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Nú</w:t>
          </w:r>
          <w:r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7223BE" w:rsidRPr="00803517" w:rsidRDefault="007223BE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7223BE" w:rsidRPr="00803517" w:rsidRDefault="007223BE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7223BE" w:rsidRPr="00803517" w:rsidRDefault="007223BE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7223BE" w:rsidTr="007A5DCE">
      <w:trPr>
        <w:trHeight w:val="544"/>
      </w:trPr>
      <w:tc>
        <w:tcPr>
          <w:tcW w:w="1196" w:type="pct"/>
          <w:vMerge/>
        </w:tcPr>
        <w:p w:rsidR="007223BE" w:rsidRDefault="007223BE" w:rsidP="007A5DCE"/>
      </w:tc>
      <w:tc>
        <w:tcPr>
          <w:tcW w:w="643" w:type="pct"/>
        </w:tcPr>
        <w:p w:rsidR="007223BE" w:rsidRDefault="007223BE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RR-405</w:t>
          </w:r>
        </w:p>
        <w:p w:rsidR="003A3A15" w:rsidRPr="00803517" w:rsidRDefault="00A8072F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 04</w:t>
          </w:r>
        </w:p>
      </w:tc>
      <w:tc>
        <w:tcPr>
          <w:tcW w:w="785" w:type="pct"/>
        </w:tcPr>
        <w:p w:rsidR="007223BE" w:rsidRPr="00803517" w:rsidRDefault="00A8072F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Febrero, 2016</w:t>
          </w:r>
        </w:p>
      </w:tc>
      <w:tc>
        <w:tcPr>
          <w:tcW w:w="1113" w:type="pct"/>
        </w:tcPr>
        <w:p w:rsidR="007223BE" w:rsidRPr="00803517" w:rsidRDefault="007223BE" w:rsidP="007A5DC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Gómez, J. Garza</w:t>
          </w:r>
          <w:r w:rsidR="00A8072F">
            <w:rPr>
              <w:rFonts w:ascii="Arial" w:hAnsi="Arial" w:cs="Arial"/>
              <w:sz w:val="20"/>
              <w:szCs w:val="20"/>
            </w:rPr>
            <w:t>, A. Carlos</w:t>
          </w:r>
        </w:p>
      </w:tc>
      <w:tc>
        <w:tcPr>
          <w:tcW w:w="1262" w:type="pct"/>
        </w:tcPr>
        <w:p w:rsidR="007223BE" w:rsidRPr="00803517" w:rsidRDefault="007223BE" w:rsidP="008B70CC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J. G. González</w:t>
          </w:r>
        </w:p>
      </w:tc>
    </w:tr>
  </w:tbl>
  <w:p w:rsidR="007223BE" w:rsidRDefault="007223BE">
    <w:pPr>
      <w:pStyle w:val="Encabezado"/>
    </w:pPr>
  </w:p>
  <w:p w:rsidR="007223BE" w:rsidRDefault="007223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F97"/>
    <w:multiLevelType w:val="singleLevel"/>
    <w:tmpl w:val="2F8C6B00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  <w:sz w:val="16"/>
      </w:rPr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B0EEB"/>
    <w:multiLevelType w:val="hybridMultilevel"/>
    <w:tmpl w:val="F00C8F8E"/>
    <w:lvl w:ilvl="0" w:tplc="FFFFFFFF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A4B87"/>
    <w:multiLevelType w:val="singleLevel"/>
    <w:tmpl w:val="2F8C6B00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  <w:sz w:val="16"/>
      </w:rPr>
    </w:lvl>
  </w:abstractNum>
  <w:abstractNum w:abstractNumId="6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26B8A"/>
    <w:multiLevelType w:val="hybridMultilevel"/>
    <w:tmpl w:val="AF5616B2"/>
    <w:lvl w:ilvl="0" w:tplc="0C0A000F">
      <w:start w:val="1"/>
      <w:numFmt w:val="decimal"/>
      <w:lvlText w:val="%1."/>
      <w:lvlJc w:val="left"/>
      <w:pPr>
        <w:ind w:left="1433" w:hanging="360"/>
      </w:pPr>
    </w:lvl>
    <w:lvl w:ilvl="1" w:tplc="0C0A0019" w:tentative="1">
      <w:start w:val="1"/>
      <w:numFmt w:val="lowerLetter"/>
      <w:lvlText w:val="%2."/>
      <w:lvlJc w:val="left"/>
      <w:pPr>
        <w:ind w:left="2153" w:hanging="360"/>
      </w:pPr>
    </w:lvl>
    <w:lvl w:ilvl="2" w:tplc="0C0A001B" w:tentative="1">
      <w:start w:val="1"/>
      <w:numFmt w:val="lowerRoman"/>
      <w:lvlText w:val="%3."/>
      <w:lvlJc w:val="right"/>
      <w:pPr>
        <w:ind w:left="2873" w:hanging="180"/>
      </w:pPr>
    </w:lvl>
    <w:lvl w:ilvl="3" w:tplc="0C0A000F" w:tentative="1">
      <w:start w:val="1"/>
      <w:numFmt w:val="decimal"/>
      <w:lvlText w:val="%4."/>
      <w:lvlJc w:val="left"/>
      <w:pPr>
        <w:ind w:left="3593" w:hanging="360"/>
      </w:pPr>
    </w:lvl>
    <w:lvl w:ilvl="4" w:tplc="0C0A0019" w:tentative="1">
      <w:start w:val="1"/>
      <w:numFmt w:val="lowerLetter"/>
      <w:lvlText w:val="%5."/>
      <w:lvlJc w:val="left"/>
      <w:pPr>
        <w:ind w:left="4313" w:hanging="360"/>
      </w:pPr>
    </w:lvl>
    <w:lvl w:ilvl="5" w:tplc="0C0A001B" w:tentative="1">
      <w:start w:val="1"/>
      <w:numFmt w:val="lowerRoman"/>
      <w:lvlText w:val="%6."/>
      <w:lvlJc w:val="right"/>
      <w:pPr>
        <w:ind w:left="5033" w:hanging="180"/>
      </w:pPr>
    </w:lvl>
    <w:lvl w:ilvl="6" w:tplc="0C0A000F" w:tentative="1">
      <w:start w:val="1"/>
      <w:numFmt w:val="decimal"/>
      <w:lvlText w:val="%7."/>
      <w:lvlJc w:val="left"/>
      <w:pPr>
        <w:ind w:left="5753" w:hanging="360"/>
      </w:pPr>
    </w:lvl>
    <w:lvl w:ilvl="7" w:tplc="0C0A0019" w:tentative="1">
      <w:start w:val="1"/>
      <w:numFmt w:val="lowerLetter"/>
      <w:lvlText w:val="%8."/>
      <w:lvlJc w:val="left"/>
      <w:pPr>
        <w:ind w:left="6473" w:hanging="360"/>
      </w:pPr>
    </w:lvl>
    <w:lvl w:ilvl="8" w:tplc="0C0A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3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8FE184F"/>
    <w:multiLevelType w:val="hybridMultilevel"/>
    <w:tmpl w:val="C3D432D4"/>
    <w:lvl w:ilvl="0" w:tplc="F1E0CA8E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  <w:num w:numId="15">
    <w:abstractNumId w:val="15"/>
  </w:num>
  <w:num w:numId="16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557DC"/>
    <w:rsid w:val="000055FF"/>
    <w:rsid w:val="00030A6B"/>
    <w:rsid w:val="00031B43"/>
    <w:rsid w:val="000507D1"/>
    <w:rsid w:val="000C17A5"/>
    <w:rsid w:val="000C22EF"/>
    <w:rsid w:val="000D53D9"/>
    <w:rsid w:val="000D6C2D"/>
    <w:rsid w:val="000E2452"/>
    <w:rsid w:val="0011116D"/>
    <w:rsid w:val="00160AFA"/>
    <w:rsid w:val="00173E3B"/>
    <w:rsid w:val="0018311D"/>
    <w:rsid w:val="001B213D"/>
    <w:rsid w:val="001C0FC1"/>
    <w:rsid w:val="001C166C"/>
    <w:rsid w:val="001C7CF9"/>
    <w:rsid w:val="001E17B1"/>
    <w:rsid w:val="0020729E"/>
    <w:rsid w:val="002472B1"/>
    <w:rsid w:val="00256156"/>
    <w:rsid w:val="00260BE7"/>
    <w:rsid w:val="00277294"/>
    <w:rsid w:val="002C50B9"/>
    <w:rsid w:val="002C7153"/>
    <w:rsid w:val="002D3312"/>
    <w:rsid w:val="002D6459"/>
    <w:rsid w:val="002E121D"/>
    <w:rsid w:val="002E2FEC"/>
    <w:rsid w:val="003311D2"/>
    <w:rsid w:val="0033520E"/>
    <w:rsid w:val="00335ADD"/>
    <w:rsid w:val="0034216B"/>
    <w:rsid w:val="00351E7B"/>
    <w:rsid w:val="00351F3D"/>
    <w:rsid w:val="003656E5"/>
    <w:rsid w:val="003711D6"/>
    <w:rsid w:val="003A3A15"/>
    <w:rsid w:val="003B761F"/>
    <w:rsid w:val="003C3454"/>
    <w:rsid w:val="003D3DE3"/>
    <w:rsid w:val="003D4494"/>
    <w:rsid w:val="00422E36"/>
    <w:rsid w:val="00432DEE"/>
    <w:rsid w:val="004461FD"/>
    <w:rsid w:val="00446CBC"/>
    <w:rsid w:val="00484716"/>
    <w:rsid w:val="004B18FB"/>
    <w:rsid w:val="004C421F"/>
    <w:rsid w:val="004C4C5E"/>
    <w:rsid w:val="004D0E0B"/>
    <w:rsid w:val="004D1894"/>
    <w:rsid w:val="004D658C"/>
    <w:rsid w:val="004E2E38"/>
    <w:rsid w:val="004F02D5"/>
    <w:rsid w:val="004F7D7A"/>
    <w:rsid w:val="005247C2"/>
    <w:rsid w:val="005574A2"/>
    <w:rsid w:val="005621CC"/>
    <w:rsid w:val="00562240"/>
    <w:rsid w:val="005A0CB4"/>
    <w:rsid w:val="005C7308"/>
    <w:rsid w:val="005E10C3"/>
    <w:rsid w:val="005F6E91"/>
    <w:rsid w:val="00621DE6"/>
    <w:rsid w:val="00637B09"/>
    <w:rsid w:val="006401B4"/>
    <w:rsid w:val="0065029A"/>
    <w:rsid w:val="0066775B"/>
    <w:rsid w:val="006C7D5A"/>
    <w:rsid w:val="006E0180"/>
    <w:rsid w:val="006E6C5B"/>
    <w:rsid w:val="006F054A"/>
    <w:rsid w:val="00704D08"/>
    <w:rsid w:val="0072045B"/>
    <w:rsid w:val="00720EB7"/>
    <w:rsid w:val="007223BE"/>
    <w:rsid w:val="007338DF"/>
    <w:rsid w:val="007557DC"/>
    <w:rsid w:val="0076779E"/>
    <w:rsid w:val="00772EED"/>
    <w:rsid w:val="007A41ED"/>
    <w:rsid w:val="007A5DCE"/>
    <w:rsid w:val="007C3E91"/>
    <w:rsid w:val="007D581B"/>
    <w:rsid w:val="00803517"/>
    <w:rsid w:val="00830631"/>
    <w:rsid w:val="00845A36"/>
    <w:rsid w:val="0084626A"/>
    <w:rsid w:val="008462C9"/>
    <w:rsid w:val="00852A62"/>
    <w:rsid w:val="00897E2A"/>
    <w:rsid w:val="008A07E7"/>
    <w:rsid w:val="008A1BE2"/>
    <w:rsid w:val="008B70CC"/>
    <w:rsid w:val="008D4414"/>
    <w:rsid w:val="008E2BE0"/>
    <w:rsid w:val="008F1AEA"/>
    <w:rsid w:val="009159FF"/>
    <w:rsid w:val="00942695"/>
    <w:rsid w:val="009500E7"/>
    <w:rsid w:val="00953A18"/>
    <w:rsid w:val="00976FD3"/>
    <w:rsid w:val="00984175"/>
    <w:rsid w:val="00985FCE"/>
    <w:rsid w:val="00994B00"/>
    <w:rsid w:val="009C2EF0"/>
    <w:rsid w:val="009C37B1"/>
    <w:rsid w:val="009C4C4B"/>
    <w:rsid w:val="009F0653"/>
    <w:rsid w:val="00A21B21"/>
    <w:rsid w:val="00A30A67"/>
    <w:rsid w:val="00A3189B"/>
    <w:rsid w:val="00A56AC2"/>
    <w:rsid w:val="00A8072F"/>
    <w:rsid w:val="00AA22DE"/>
    <w:rsid w:val="00AB5F01"/>
    <w:rsid w:val="00AD7C71"/>
    <w:rsid w:val="00AF5E88"/>
    <w:rsid w:val="00B14859"/>
    <w:rsid w:val="00B50A97"/>
    <w:rsid w:val="00B5310A"/>
    <w:rsid w:val="00B67428"/>
    <w:rsid w:val="00BB22BE"/>
    <w:rsid w:val="00BB71D1"/>
    <w:rsid w:val="00C13F93"/>
    <w:rsid w:val="00C5281B"/>
    <w:rsid w:val="00C57B10"/>
    <w:rsid w:val="00C63C3C"/>
    <w:rsid w:val="00C853E2"/>
    <w:rsid w:val="00C977E7"/>
    <w:rsid w:val="00CA3D17"/>
    <w:rsid w:val="00CB37E8"/>
    <w:rsid w:val="00CC011C"/>
    <w:rsid w:val="00CC79A3"/>
    <w:rsid w:val="00CF48E9"/>
    <w:rsid w:val="00D1619F"/>
    <w:rsid w:val="00D21E35"/>
    <w:rsid w:val="00D44992"/>
    <w:rsid w:val="00D60FD5"/>
    <w:rsid w:val="00D8488F"/>
    <w:rsid w:val="00DA0186"/>
    <w:rsid w:val="00DA4558"/>
    <w:rsid w:val="00DB53D2"/>
    <w:rsid w:val="00DC05D9"/>
    <w:rsid w:val="00DC3C44"/>
    <w:rsid w:val="00DD6A74"/>
    <w:rsid w:val="00DF4E31"/>
    <w:rsid w:val="00E237A1"/>
    <w:rsid w:val="00E32601"/>
    <w:rsid w:val="00E434E3"/>
    <w:rsid w:val="00E64B53"/>
    <w:rsid w:val="00E67A9D"/>
    <w:rsid w:val="00E73033"/>
    <w:rsid w:val="00E81964"/>
    <w:rsid w:val="00E8680A"/>
    <w:rsid w:val="00EA2201"/>
    <w:rsid w:val="00EB6C9D"/>
    <w:rsid w:val="00EC0A2B"/>
    <w:rsid w:val="00F11BB4"/>
    <w:rsid w:val="00F21FAA"/>
    <w:rsid w:val="00F73169"/>
    <w:rsid w:val="00F81921"/>
    <w:rsid w:val="00FA1D30"/>
    <w:rsid w:val="00FA500E"/>
    <w:rsid w:val="00FE6077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7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207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72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7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decuerpo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decuerpo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decuerpo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decuerpo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decuerpo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decuerpo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207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72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data.fda.gov/scripts/cdrh/cfdocs/cfcfr/CFRSearch.cfm?fr=56.10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AEB1-07A7-42F0-8E10-E6E00142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1322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Annie Carlos</cp:lastModifiedBy>
  <cp:revision>3</cp:revision>
  <cp:lastPrinted>2011-08-12T19:46:00Z</cp:lastPrinted>
  <dcterms:created xsi:type="dcterms:W3CDTF">2013-12-16T16:02:00Z</dcterms:created>
  <dcterms:modified xsi:type="dcterms:W3CDTF">2016-02-12T21:24:00Z</dcterms:modified>
</cp:coreProperties>
</file>