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BD3E" w14:textId="77777777" w:rsidR="00F11BB4" w:rsidRPr="009C2EF0" w:rsidRDefault="00F11BB4" w:rsidP="00DB53D2">
      <w:pPr>
        <w:jc w:val="both"/>
        <w:rPr>
          <w:rFonts w:ascii="Arial" w:hAnsi="Arial" w:cs="Arial"/>
        </w:rPr>
      </w:pPr>
    </w:p>
    <w:p w14:paraId="0292B756" w14:textId="77777777" w:rsidR="00F11BB4" w:rsidRPr="009C2EF0" w:rsidRDefault="00803517" w:rsidP="00DB53D2">
      <w:pPr>
        <w:jc w:val="both"/>
        <w:rPr>
          <w:rFonts w:ascii="Arial" w:hAnsi="Arial" w:cs="Arial"/>
          <w:b/>
        </w:rPr>
      </w:pPr>
      <w:r w:rsidRPr="009C2EF0">
        <w:rPr>
          <w:rFonts w:ascii="Arial" w:hAnsi="Arial" w:cs="Arial"/>
          <w:b/>
        </w:rPr>
        <w:t>I. PROPÓSITO</w:t>
      </w:r>
    </w:p>
    <w:p w14:paraId="5190207A" w14:textId="77777777" w:rsidR="004D1894" w:rsidRPr="009C2EF0" w:rsidRDefault="00803517" w:rsidP="00D21E35">
      <w:pPr>
        <w:ind w:firstLine="708"/>
        <w:jc w:val="both"/>
        <w:rPr>
          <w:rFonts w:ascii="Arial" w:hAnsi="Arial" w:cs="Arial"/>
        </w:rPr>
      </w:pPr>
      <w:r w:rsidRPr="009C2EF0">
        <w:rPr>
          <w:rFonts w:ascii="Arial" w:hAnsi="Arial" w:cs="Arial"/>
        </w:rPr>
        <w:t>I.1.</w:t>
      </w:r>
      <w:r w:rsidR="004D1894" w:rsidRPr="009C2EF0">
        <w:rPr>
          <w:rFonts w:ascii="Arial" w:hAnsi="Arial" w:cs="Arial"/>
        </w:rPr>
        <w:t xml:space="preserve">Describir </w:t>
      </w:r>
      <w:r w:rsidR="00EA2201" w:rsidRPr="009C2EF0">
        <w:rPr>
          <w:rFonts w:ascii="Arial" w:hAnsi="Arial" w:cs="Arial"/>
        </w:rPr>
        <w:t xml:space="preserve">los </w:t>
      </w:r>
      <w:r w:rsidR="00D21E35" w:rsidRPr="009C2EF0">
        <w:rPr>
          <w:rFonts w:ascii="Arial" w:hAnsi="Arial" w:cs="Arial"/>
        </w:rPr>
        <w:t xml:space="preserve">procesos mediante </w:t>
      </w:r>
      <w:r w:rsidR="00772EED" w:rsidRPr="009C2EF0">
        <w:rPr>
          <w:rFonts w:ascii="Arial" w:hAnsi="Arial" w:cs="Arial"/>
        </w:rPr>
        <w:t>el cual todos los protocolos de investigación s</w:t>
      </w:r>
      <w:r w:rsidR="009C2EF0" w:rsidRPr="009C2EF0">
        <w:rPr>
          <w:rFonts w:ascii="Arial" w:hAnsi="Arial" w:cs="Arial"/>
        </w:rPr>
        <w:t xml:space="preserve">on </w:t>
      </w:r>
      <w:r w:rsidR="009C2EF0">
        <w:rPr>
          <w:rFonts w:ascii="Arial" w:hAnsi="Arial" w:cs="Arial"/>
        </w:rPr>
        <w:t>monitoreados, descripción del proceso de reporte de eventos adversos y sometimientos de enmiendas.</w:t>
      </w:r>
    </w:p>
    <w:p w14:paraId="213AD80B" w14:textId="77777777" w:rsidR="00D21E35" w:rsidRPr="009C2EF0" w:rsidRDefault="009159FF" w:rsidP="00D21E35">
      <w:pPr>
        <w:ind w:firstLine="708"/>
        <w:jc w:val="both"/>
        <w:rPr>
          <w:rFonts w:ascii="Arial" w:hAnsi="Arial" w:cs="Arial"/>
        </w:rPr>
      </w:pPr>
      <w:r w:rsidRPr="009C2EF0">
        <w:rPr>
          <w:rFonts w:ascii="Arial" w:hAnsi="Arial" w:cs="Arial"/>
        </w:rPr>
        <w:t>I.2. Inicia con el  sometimi</w:t>
      </w:r>
      <w:r w:rsidR="00772EED" w:rsidRPr="009C2EF0">
        <w:rPr>
          <w:rFonts w:ascii="Arial" w:hAnsi="Arial" w:cs="Arial"/>
        </w:rPr>
        <w:t xml:space="preserve">ento de </w:t>
      </w:r>
      <w:r w:rsidR="009C2EF0" w:rsidRPr="009C2EF0">
        <w:rPr>
          <w:rFonts w:ascii="Arial" w:hAnsi="Arial" w:cs="Arial"/>
        </w:rPr>
        <w:t>la papelería y revisión de las actualizaciones del estudio de investigación</w:t>
      </w:r>
      <w:r w:rsidR="009C2EF0">
        <w:rPr>
          <w:rFonts w:ascii="Arial" w:hAnsi="Arial" w:cs="Arial"/>
        </w:rPr>
        <w:t xml:space="preserve"> y realización de monitoreo.</w:t>
      </w:r>
    </w:p>
    <w:p w14:paraId="697EE1CE" w14:textId="77777777" w:rsidR="00D21E35" w:rsidRPr="009C2EF0" w:rsidRDefault="00D21E35" w:rsidP="00D21E35">
      <w:pPr>
        <w:ind w:firstLine="708"/>
        <w:jc w:val="both"/>
        <w:rPr>
          <w:rFonts w:ascii="Arial" w:hAnsi="Arial" w:cs="Arial"/>
          <w:lang w:val="es-MX"/>
        </w:rPr>
      </w:pPr>
      <w:r w:rsidRPr="009C2EF0">
        <w:rPr>
          <w:rFonts w:ascii="Arial" w:hAnsi="Arial" w:cs="Arial"/>
        </w:rPr>
        <w:t xml:space="preserve">I.3. Termina cuando la </w:t>
      </w:r>
      <w:r w:rsidR="009159FF" w:rsidRPr="009C2EF0">
        <w:rPr>
          <w:rFonts w:ascii="Arial" w:hAnsi="Arial" w:cs="Arial"/>
        </w:rPr>
        <w:t>d</w:t>
      </w:r>
      <w:r w:rsidR="009C2EF0" w:rsidRPr="009C2EF0">
        <w:rPr>
          <w:rFonts w:ascii="Arial" w:hAnsi="Arial" w:cs="Arial"/>
        </w:rPr>
        <w:t>ocumentación es aprobada para su continuidad, o en su caso cerrar el estudio.</w:t>
      </w:r>
    </w:p>
    <w:p w14:paraId="43A98470" w14:textId="77777777" w:rsidR="00CC79A3" w:rsidRPr="009C2EF0" w:rsidRDefault="00CC79A3" w:rsidP="00CC79A3">
      <w:pPr>
        <w:ind w:firstLine="708"/>
        <w:jc w:val="both"/>
        <w:rPr>
          <w:rFonts w:ascii="Arial" w:hAnsi="Arial" w:cs="Arial"/>
        </w:rPr>
      </w:pPr>
    </w:p>
    <w:p w14:paraId="594A860B" w14:textId="77777777" w:rsidR="00803517" w:rsidRPr="009C2EF0" w:rsidRDefault="00803517" w:rsidP="00DB53D2">
      <w:pPr>
        <w:jc w:val="both"/>
        <w:rPr>
          <w:rFonts w:ascii="Arial" w:hAnsi="Arial" w:cs="Arial"/>
          <w:b/>
        </w:rPr>
      </w:pPr>
    </w:p>
    <w:p w14:paraId="1B05272B" w14:textId="77777777" w:rsidR="00803517" w:rsidRPr="009C2EF0" w:rsidRDefault="00803517" w:rsidP="00DB53D2">
      <w:pPr>
        <w:jc w:val="both"/>
        <w:rPr>
          <w:rFonts w:ascii="Arial" w:hAnsi="Arial" w:cs="Arial"/>
          <w:b/>
        </w:rPr>
      </w:pPr>
      <w:r w:rsidRPr="009C2EF0">
        <w:rPr>
          <w:rFonts w:ascii="Arial" w:hAnsi="Arial" w:cs="Arial"/>
          <w:b/>
        </w:rPr>
        <w:t>II. REVISIONES DE VERSIONES PREVIAS</w:t>
      </w:r>
    </w:p>
    <w:p w14:paraId="2FBC67ED" w14:textId="77777777" w:rsidR="00803517" w:rsidRPr="009C2EF0" w:rsidRDefault="00CB37E8" w:rsidP="00DB53D2">
      <w:pPr>
        <w:ind w:firstLine="708"/>
        <w:jc w:val="both"/>
        <w:rPr>
          <w:rFonts w:ascii="Arial" w:hAnsi="Arial" w:cs="Arial"/>
        </w:rPr>
      </w:pPr>
      <w:r w:rsidRPr="009C2EF0">
        <w:rPr>
          <w:rFonts w:ascii="Arial" w:hAnsi="Arial" w:cs="Arial"/>
        </w:rPr>
        <w:t>Ninguna</w:t>
      </w:r>
    </w:p>
    <w:p w14:paraId="69EBB7A0" w14:textId="77777777" w:rsidR="00803517" w:rsidRPr="009C2EF0" w:rsidRDefault="00803517" w:rsidP="00DB53D2">
      <w:pPr>
        <w:jc w:val="both"/>
        <w:rPr>
          <w:rFonts w:ascii="Arial" w:hAnsi="Arial" w:cs="Arial"/>
          <w:b/>
        </w:rPr>
      </w:pPr>
    </w:p>
    <w:p w14:paraId="12F06EBD" w14:textId="77777777" w:rsidR="00803517" w:rsidRPr="009C2EF0" w:rsidRDefault="00803517" w:rsidP="00DB53D2">
      <w:pPr>
        <w:jc w:val="both"/>
        <w:rPr>
          <w:rFonts w:ascii="Arial" w:hAnsi="Arial" w:cs="Arial"/>
          <w:b/>
        </w:rPr>
      </w:pPr>
      <w:r w:rsidRPr="009C2EF0">
        <w:rPr>
          <w:rFonts w:ascii="Arial" w:hAnsi="Arial" w:cs="Arial"/>
          <w:b/>
        </w:rPr>
        <w:t>III. POLÍTICAS</w:t>
      </w:r>
    </w:p>
    <w:p w14:paraId="2CD4F492" w14:textId="77777777" w:rsidR="005E10C3" w:rsidRPr="009C2EF0" w:rsidRDefault="005E10C3" w:rsidP="00DB53D2">
      <w:pPr>
        <w:jc w:val="both"/>
        <w:rPr>
          <w:rFonts w:ascii="Arial" w:hAnsi="Arial" w:cs="Arial"/>
          <w:b/>
        </w:rPr>
      </w:pPr>
    </w:p>
    <w:p w14:paraId="00B74974" w14:textId="494DEB0C" w:rsidR="009C2EF0" w:rsidRPr="009C2EF0" w:rsidRDefault="009C2EF0" w:rsidP="009C2EF0">
      <w:pPr>
        <w:tabs>
          <w:tab w:val="left" w:pos="7200"/>
        </w:tabs>
        <w:spacing w:after="120"/>
        <w:ind w:left="288"/>
        <w:jc w:val="both"/>
        <w:rPr>
          <w:rFonts w:ascii="Arial" w:hAnsi="Arial" w:cs="Arial"/>
        </w:rPr>
      </w:pPr>
      <w:r w:rsidRPr="009C2EF0">
        <w:rPr>
          <w:rFonts w:ascii="Arial" w:hAnsi="Arial" w:cs="Arial"/>
        </w:rPr>
        <w:t>Ningún investigador tiene el derecho de conducir</w:t>
      </w:r>
      <w:r w:rsidR="005766A0">
        <w:rPr>
          <w:rFonts w:ascii="Arial" w:hAnsi="Arial" w:cs="Arial"/>
        </w:rPr>
        <w:t xml:space="preserve"> la investigación dentro de la F</w:t>
      </w:r>
      <w:r w:rsidRPr="009C2EF0">
        <w:rPr>
          <w:rFonts w:ascii="Arial" w:hAnsi="Arial" w:cs="Arial"/>
        </w:rPr>
        <w:t>acultad de Medicina y Hospital Universitario sin la Autorización por escrito del Comité  de Ética y Comité  de Investigación.  Mejor dicho, es un privilegio concedido por el Comité  en su totalidad y los administradores de la Facultad de Medicina y Hospital Universitario, UANL.</w:t>
      </w:r>
    </w:p>
    <w:p w14:paraId="12899467" w14:textId="77777777" w:rsidR="009C2EF0" w:rsidRPr="009C2EF0" w:rsidRDefault="009C2EF0" w:rsidP="009C2EF0">
      <w:pPr>
        <w:tabs>
          <w:tab w:val="left" w:pos="7200"/>
        </w:tabs>
        <w:spacing w:after="120"/>
        <w:ind w:left="288"/>
        <w:jc w:val="both"/>
        <w:rPr>
          <w:rFonts w:ascii="Arial" w:hAnsi="Arial" w:cs="Arial"/>
        </w:rPr>
      </w:pPr>
      <w:r w:rsidRPr="009C2EF0">
        <w:rPr>
          <w:rFonts w:ascii="Arial" w:hAnsi="Arial" w:cs="Arial"/>
        </w:rPr>
        <w:t>La aprobación del Comité  puede ser retirada en cualquier momento si se justifica por la conducta de la investigación.  Las regulaciones autorizan al  Comité  a establecer los procedimientos para la supervisión concurrente de las actividades de la investigación que involucran sujetos humanos. La revisión periódica de las actividades de la investigación es necesaria para determinar si la aprobación continúa o debe ser retirada.  Toda la investigación que involucra sujetos humanos debe ser revisada por lo menos una vez al año.</w:t>
      </w:r>
    </w:p>
    <w:p w14:paraId="430EDBCE" w14:textId="77777777" w:rsidR="009C2EF0" w:rsidRPr="009C2EF0" w:rsidRDefault="009C2EF0" w:rsidP="009C2EF0">
      <w:pPr>
        <w:spacing w:after="120"/>
        <w:ind w:left="288"/>
        <w:jc w:val="both"/>
        <w:rPr>
          <w:rFonts w:ascii="Arial" w:hAnsi="Arial" w:cs="Arial"/>
        </w:rPr>
      </w:pPr>
      <w:r w:rsidRPr="009C2EF0">
        <w:rPr>
          <w:rFonts w:ascii="Arial" w:hAnsi="Arial" w:cs="Arial"/>
        </w:rPr>
        <w:t>La aprobación del Comité  para la conducción de un estudio se puede retirar si los riesgos a los sujetos se determinan como altamente inaceptables, por ejemplo, más del número previsto de acontecimientos adversos, acontecimientos adversos serios inesperados o evidencia de que el investigador no está conduciendo la investigación de acuerdo con  las pautas institucionales del Comité.  Tales resultados pueden dar lugar a una revisión más frecuente del estudio para determinarse si la aprobación es retirada, o temporalmente detenida hasta que se tomen medidas correctivas o incluso el estudio sea terminado. La revisión continua incluye, pero no puede limitarse a, las actividades siguientes:</w:t>
      </w:r>
    </w:p>
    <w:p w14:paraId="2C134F82" w14:textId="77777777" w:rsidR="009C2EF0" w:rsidRPr="009C2EF0" w:rsidRDefault="009C2EF0" w:rsidP="00351E7B">
      <w:pPr>
        <w:pStyle w:val="List-Level3"/>
        <w:numPr>
          <w:ilvl w:val="0"/>
          <w:numId w:val="3"/>
        </w:numPr>
        <w:jc w:val="both"/>
        <w:rPr>
          <w:szCs w:val="24"/>
          <w:lang w:val="es-ES"/>
        </w:rPr>
      </w:pPr>
      <w:r w:rsidRPr="009C2EF0">
        <w:rPr>
          <w:szCs w:val="24"/>
          <w:lang w:val="es-ES"/>
        </w:rPr>
        <w:t>Visitas a los sitios y verificación por tercera persona</w:t>
      </w:r>
    </w:p>
    <w:p w14:paraId="7BDDEBF7" w14:textId="77777777" w:rsidR="009C2EF0" w:rsidRPr="009C2EF0" w:rsidRDefault="009C2EF0" w:rsidP="00351E7B">
      <w:pPr>
        <w:pStyle w:val="List-Level3"/>
        <w:numPr>
          <w:ilvl w:val="0"/>
          <w:numId w:val="3"/>
        </w:numPr>
        <w:jc w:val="both"/>
        <w:rPr>
          <w:szCs w:val="24"/>
          <w:lang w:val="es-ES"/>
        </w:rPr>
      </w:pPr>
      <w:r w:rsidRPr="009C2EF0">
        <w:rPr>
          <w:szCs w:val="24"/>
          <w:lang w:val="es-ES"/>
        </w:rPr>
        <w:lastRenderedPageBreak/>
        <w:t>Revisión de acontecimientos adversos serios e inesperados</w:t>
      </w:r>
    </w:p>
    <w:p w14:paraId="0BB25659" w14:textId="77777777" w:rsidR="009C2EF0" w:rsidRPr="009C2EF0" w:rsidRDefault="009C2EF0" w:rsidP="00351E7B">
      <w:pPr>
        <w:pStyle w:val="List-Level3"/>
        <w:numPr>
          <w:ilvl w:val="0"/>
          <w:numId w:val="3"/>
        </w:numPr>
        <w:jc w:val="both"/>
        <w:rPr>
          <w:szCs w:val="24"/>
          <w:lang w:val="es-ES"/>
        </w:rPr>
      </w:pPr>
      <w:r w:rsidRPr="009C2EF0">
        <w:rPr>
          <w:szCs w:val="24"/>
          <w:lang w:val="es-ES"/>
        </w:rPr>
        <w:t>Enmiendas</w:t>
      </w:r>
    </w:p>
    <w:p w14:paraId="53A7524C" w14:textId="77777777" w:rsidR="009C2EF0" w:rsidRPr="009C2EF0" w:rsidRDefault="009C2EF0" w:rsidP="00351E7B">
      <w:pPr>
        <w:pStyle w:val="List-Level3"/>
        <w:numPr>
          <w:ilvl w:val="0"/>
          <w:numId w:val="3"/>
        </w:numPr>
        <w:jc w:val="both"/>
        <w:rPr>
          <w:szCs w:val="24"/>
          <w:lang w:val="es-ES"/>
        </w:rPr>
      </w:pPr>
      <w:r w:rsidRPr="009C2EF0">
        <w:rPr>
          <w:szCs w:val="24"/>
          <w:lang w:val="es-ES"/>
        </w:rPr>
        <w:t>Revisión de nuevos resultados significativos</w:t>
      </w:r>
    </w:p>
    <w:p w14:paraId="550D0FC4" w14:textId="77777777" w:rsidR="009C2EF0" w:rsidRPr="009C2EF0" w:rsidRDefault="009C2EF0" w:rsidP="00351E7B">
      <w:pPr>
        <w:pStyle w:val="List-Level3"/>
        <w:numPr>
          <w:ilvl w:val="0"/>
          <w:numId w:val="3"/>
        </w:numPr>
        <w:jc w:val="both"/>
        <w:rPr>
          <w:szCs w:val="24"/>
          <w:lang w:val="es-ES"/>
        </w:rPr>
      </w:pPr>
      <w:r w:rsidRPr="009C2EF0">
        <w:rPr>
          <w:szCs w:val="24"/>
          <w:lang w:val="es-ES"/>
        </w:rPr>
        <w:t>Informes de empleados, del personal y de la Institución.</w:t>
      </w:r>
    </w:p>
    <w:p w14:paraId="7122AA17" w14:textId="77777777" w:rsidR="009C2EF0" w:rsidRPr="009C2EF0" w:rsidRDefault="009C2EF0" w:rsidP="00351E7B">
      <w:pPr>
        <w:pStyle w:val="List-Level3"/>
        <w:numPr>
          <w:ilvl w:val="0"/>
          <w:numId w:val="3"/>
        </w:numPr>
        <w:jc w:val="both"/>
        <w:rPr>
          <w:szCs w:val="24"/>
          <w:lang w:val="es-ES"/>
        </w:rPr>
      </w:pPr>
      <w:r w:rsidRPr="009C2EF0">
        <w:rPr>
          <w:szCs w:val="24"/>
          <w:lang w:val="es-ES"/>
        </w:rPr>
        <w:t>Incumplimiento</w:t>
      </w:r>
    </w:p>
    <w:p w14:paraId="59E43707" w14:textId="77777777" w:rsidR="009C2EF0" w:rsidRPr="009C2EF0" w:rsidRDefault="009C2EF0" w:rsidP="009C2EF0">
      <w:pPr>
        <w:pStyle w:val="List-Level3"/>
        <w:ind w:left="1710" w:firstLine="0"/>
        <w:jc w:val="both"/>
        <w:rPr>
          <w:szCs w:val="24"/>
          <w:lang w:val="es-ES"/>
        </w:rPr>
      </w:pPr>
    </w:p>
    <w:p w14:paraId="231FFF5B" w14:textId="77777777" w:rsidR="009C2EF0" w:rsidRPr="009C2EF0" w:rsidRDefault="009C2EF0" w:rsidP="009C2EF0">
      <w:pPr>
        <w:pStyle w:val="Ttulo2"/>
        <w:jc w:val="both"/>
        <w:rPr>
          <w:rFonts w:ascii="Arial" w:hAnsi="Arial" w:cs="Arial"/>
          <w:color w:val="auto"/>
          <w:sz w:val="24"/>
          <w:szCs w:val="24"/>
        </w:rPr>
      </w:pPr>
      <w:r w:rsidRPr="009C2EF0">
        <w:rPr>
          <w:rFonts w:ascii="Arial" w:hAnsi="Arial" w:cs="Arial"/>
          <w:color w:val="auto"/>
          <w:sz w:val="24"/>
          <w:szCs w:val="24"/>
        </w:rPr>
        <w:t>Políticas específicas</w:t>
      </w:r>
    </w:p>
    <w:p w14:paraId="1D940A8C" w14:textId="77777777" w:rsidR="009C2EF0" w:rsidRPr="009C2EF0" w:rsidRDefault="009C2EF0" w:rsidP="009C2EF0">
      <w:pPr>
        <w:pStyle w:val="Ttulo2"/>
        <w:ind w:left="288"/>
        <w:jc w:val="both"/>
        <w:rPr>
          <w:rFonts w:ascii="Arial" w:hAnsi="Arial" w:cs="Arial"/>
          <w:color w:val="auto"/>
          <w:sz w:val="24"/>
          <w:szCs w:val="24"/>
        </w:rPr>
      </w:pPr>
      <w:r w:rsidRPr="009C2EF0">
        <w:rPr>
          <w:rFonts w:ascii="Arial" w:hAnsi="Arial" w:cs="Arial"/>
          <w:color w:val="auto"/>
          <w:sz w:val="24"/>
          <w:szCs w:val="24"/>
        </w:rPr>
        <w:t>1.1 Visitas de sitio y Verificación por Tercera Persona</w:t>
      </w:r>
    </w:p>
    <w:p w14:paraId="53655115" w14:textId="79B2F2BA" w:rsidR="009C2EF0" w:rsidRPr="009C2EF0" w:rsidRDefault="009C2EF0" w:rsidP="009C2EF0">
      <w:pPr>
        <w:pStyle w:val="level2bodystyle"/>
        <w:jc w:val="both"/>
        <w:rPr>
          <w:sz w:val="24"/>
          <w:szCs w:val="24"/>
          <w:lang w:val="es-ES"/>
        </w:rPr>
      </w:pPr>
      <w:r w:rsidRPr="009C2EF0">
        <w:rPr>
          <w:sz w:val="24"/>
          <w:szCs w:val="24"/>
          <w:lang w:val="es-ES"/>
        </w:rPr>
        <w:t xml:space="preserve">El Comité  tiene la autoridad de observar o de tener una tercera persona para observar </w:t>
      </w:r>
      <w:r w:rsidR="00F31F06">
        <w:rPr>
          <w:sz w:val="24"/>
          <w:szCs w:val="24"/>
          <w:lang w:val="es-ES"/>
        </w:rPr>
        <w:t xml:space="preserve">y auditar </w:t>
      </w:r>
      <w:r w:rsidRPr="009C2EF0">
        <w:rPr>
          <w:sz w:val="24"/>
          <w:szCs w:val="24"/>
          <w:lang w:val="es-ES"/>
        </w:rPr>
        <w:t>el proceso de consentimiento informado de la investigación que se ha aprobado, y para verificar que el estudio se está conduciendo según lo requerido por el  Comité  y dentro de las políticas y los procedimientos institucionales y los procedimientos específicos del sitio.  El personal o los miembros del Comité  pueden llevar a cabo visitas de sitio o designar a otra person</w:t>
      </w:r>
      <w:r w:rsidR="00F31F06">
        <w:rPr>
          <w:sz w:val="24"/>
          <w:szCs w:val="24"/>
          <w:lang w:val="es-ES"/>
        </w:rPr>
        <w:t>a</w:t>
      </w:r>
      <w:r w:rsidRPr="009C2EF0">
        <w:rPr>
          <w:sz w:val="24"/>
          <w:szCs w:val="24"/>
          <w:lang w:val="es-ES"/>
        </w:rPr>
        <w:t>, para verificar el uso de la información del estudio, o en cualquier otra revisión de los sometimientos, sean provisionales o continuos.</w:t>
      </w:r>
    </w:p>
    <w:p w14:paraId="70E4839E" w14:textId="77777777" w:rsidR="009C2EF0" w:rsidRPr="009C2EF0" w:rsidRDefault="009C2EF0" w:rsidP="009C2EF0">
      <w:pPr>
        <w:pStyle w:val="level2bodystyle"/>
        <w:jc w:val="both"/>
        <w:rPr>
          <w:sz w:val="24"/>
          <w:szCs w:val="24"/>
          <w:lang w:val="es-ES"/>
        </w:rPr>
      </w:pPr>
      <w:r w:rsidRPr="009C2EF0">
        <w:rPr>
          <w:sz w:val="24"/>
          <w:szCs w:val="24"/>
          <w:lang w:val="es-ES"/>
        </w:rPr>
        <w:t>Los criterios para seleccionar a investigadores para ser visitados pueden incluir:</w:t>
      </w:r>
    </w:p>
    <w:p w14:paraId="099A414F" w14:textId="77777777" w:rsidR="009C2EF0" w:rsidRPr="009C2EF0" w:rsidRDefault="009C2EF0" w:rsidP="00351E7B">
      <w:pPr>
        <w:pStyle w:val="level2bodystyle"/>
        <w:numPr>
          <w:ilvl w:val="0"/>
          <w:numId w:val="4"/>
        </w:numPr>
        <w:jc w:val="both"/>
        <w:rPr>
          <w:sz w:val="24"/>
          <w:szCs w:val="24"/>
          <w:lang w:val="es-ES"/>
        </w:rPr>
      </w:pPr>
      <w:r w:rsidRPr="009C2EF0">
        <w:rPr>
          <w:sz w:val="24"/>
          <w:szCs w:val="24"/>
          <w:lang w:val="es-ES"/>
        </w:rPr>
        <w:t>Investigadores que conducen estudios que involucran un potencial de riesgo elevado a los sujetos</w:t>
      </w:r>
      <w:r w:rsidR="00F31F06">
        <w:rPr>
          <w:sz w:val="24"/>
          <w:szCs w:val="24"/>
          <w:lang w:val="es-ES"/>
        </w:rPr>
        <w:t>.</w:t>
      </w:r>
    </w:p>
    <w:p w14:paraId="7DC81F61" w14:textId="77777777" w:rsidR="009C2EF0" w:rsidRPr="009C2EF0" w:rsidRDefault="009C2EF0" w:rsidP="00351E7B">
      <w:pPr>
        <w:pStyle w:val="level2bodystyle"/>
        <w:numPr>
          <w:ilvl w:val="0"/>
          <w:numId w:val="4"/>
        </w:numPr>
        <w:jc w:val="both"/>
        <w:rPr>
          <w:sz w:val="24"/>
          <w:szCs w:val="24"/>
          <w:lang w:val="es-ES"/>
        </w:rPr>
      </w:pPr>
      <w:r w:rsidRPr="009C2EF0">
        <w:rPr>
          <w:sz w:val="24"/>
          <w:szCs w:val="24"/>
          <w:lang w:val="es-ES"/>
        </w:rPr>
        <w:t>Estudios que involucran a poblaciones vulnerables</w:t>
      </w:r>
    </w:p>
    <w:p w14:paraId="0168C879" w14:textId="77777777" w:rsidR="009C2EF0" w:rsidRPr="009C2EF0" w:rsidRDefault="009C2EF0" w:rsidP="00351E7B">
      <w:pPr>
        <w:pStyle w:val="level2bodystyle"/>
        <w:numPr>
          <w:ilvl w:val="0"/>
          <w:numId w:val="4"/>
        </w:numPr>
        <w:jc w:val="both"/>
        <w:rPr>
          <w:sz w:val="24"/>
          <w:szCs w:val="24"/>
          <w:lang w:val="es-ES"/>
        </w:rPr>
      </w:pPr>
      <w:r w:rsidRPr="009C2EF0">
        <w:rPr>
          <w:sz w:val="24"/>
          <w:szCs w:val="24"/>
          <w:lang w:val="es-ES"/>
        </w:rPr>
        <w:t>Investigadores que conducen estudios que involucran una gran cantidad de sujetos</w:t>
      </w:r>
    </w:p>
    <w:p w14:paraId="2BDF83BA" w14:textId="77777777" w:rsidR="009C2EF0" w:rsidRPr="009C2EF0" w:rsidRDefault="009C2EF0" w:rsidP="00351E7B">
      <w:pPr>
        <w:pStyle w:val="level2bodystyle"/>
        <w:numPr>
          <w:ilvl w:val="0"/>
          <w:numId w:val="4"/>
        </w:numPr>
        <w:jc w:val="both"/>
        <w:rPr>
          <w:sz w:val="24"/>
          <w:szCs w:val="24"/>
          <w:lang w:val="es-ES"/>
        </w:rPr>
      </w:pPr>
      <w:r w:rsidRPr="009C2EF0">
        <w:rPr>
          <w:sz w:val="24"/>
          <w:szCs w:val="24"/>
          <w:lang w:val="es-ES"/>
        </w:rPr>
        <w:t>Investigadores seleccionados por el Comité</w:t>
      </w:r>
    </w:p>
    <w:p w14:paraId="38CD5222" w14:textId="6116BB62" w:rsidR="009C2EF0" w:rsidRPr="009C2EF0" w:rsidRDefault="009C2EF0" w:rsidP="009C2EF0">
      <w:pPr>
        <w:pStyle w:val="level2bodystyle"/>
        <w:jc w:val="both"/>
        <w:rPr>
          <w:sz w:val="24"/>
          <w:szCs w:val="24"/>
          <w:lang w:val="es-ES"/>
        </w:rPr>
      </w:pPr>
      <w:r w:rsidRPr="009C2EF0">
        <w:rPr>
          <w:sz w:val="24"/>
          <w:szCs w:val="24"/>
          <w:lang w:val="es-ES"/>
        </w:rPr>
        <w:t xml:space="preserve">Otros medios de verificación incluyen los cuestionarios enviados al personal investigador para verificar la información sometida por el investigador.  A los patrocinadores se les puede requerir someter copias de informes de sus </w:t>
      </w:r>
      <w:r w:rsidR="00F31F06">
        <w:rPr>
          <w:sz w:val="24"/>
          <w:szCs w:val="24"/>
          <w:lang w:val="es-ES"/>
        </w:rPr>
        <w:t>auditoria</w:t>
      </w:r>
      <w:r w:rsidRPr="009C2EF0">
        <w:rPr>
          <w:sz w:val="24"/>
          <w:szCs w:val="24"/>
          <w:lang w:val="es-ES"/>
        </w:rPr>
        <w:t>, o pueden ser solicitados para contestar un cuestionario con respecto al protocolo y/o al sitio investigador.</w:t>
      </w:r>
    </w:p>
    <w:p w14:paraId="37D4C658" w14:textId="401F9B82" w:rsidR="009C2EF0" w:rsidRPr="009C2EF0" w:rsidRDefault="009C2EF0" w:rsidP="009C2EF0">
      <w:pPr>
        <w:pStyle w:val="level2bodystyle"/>
        <w:jc w:val="both"/>
        <w:rPr>
          <w:sz w:val="24"/>
          <w:szCs w:val="24"/>
          <w:lang w:val="es-ES"/>
        </w:rPr>
      </w:pPr>
      <w:r w:rsidRPr="009C2EF0">
        <w:rPr>
          <w:sz w:val="24"/>
          <w:szCs w:val="24"/>
          <w:lang w:val="es-ES"/>
        </w:rPr>
        <w:t xml:space="preserve">A los investigadores se les puede pedir someter las copias de los formatos del consentimiento informado firmados o de otros documentos para garantizar su cumplimiento con los requerimientos del Comité de </w:t>
      </w:r>
      <w:r w:rsidRPr="009C2EF0">
        <w:rPr>
          <w:sz w:val="24"/>
          <w:szCs w:val="24"/>
          <w:lang w:val="es-ES"/>
        </w:rPr>
        <w:lastRenderedPageBreak/>
        <w:t>Ética, Investigación puede conducir entrevistas con los sujetos monitorizados o sujetos protegidos (ocultos)  y/o enlistados según se juzgue necesario.</w:t>
      </w:r>
    </w:p>
    <w:p w14:paraId="78C9F3FC" w14:textId="77777777" w:rsidR="009C2EF0" w:rsidRPr="009C2EF0" w:rsidRDefault="009C2EF0" w:rsidP="009C2EF0">
      <w:pPr>
        <w:spacing w:before="120" w:after="120"/>
        <w:ind w:left="288"/>
        <w:jc w:val="both"/>
        <w:rPr>
          <w:rFonts w:ascii="Arial" w:hAnsi="Arial" w:cs="Arial"/>
        </w:rPr>
      </w:pPr>
      <w:r w:rsidRPr="009C2EF0">
        <w:rPr>
          <w:rFonts w:ascii="Arial" w:hAnsi="Arial" w:cs="Arial"/>
          <w:b/>
        </w:rPr>
        <w:t>1.2 Acontecimientos adversos serios e inesperados</w:t>
      </w:r>
    </w:p>
    <w:p w14:paraId="76A1F877" w14:textId="397D555A" w:rsidR="009C2EF0" w:rsidRPr="009C2EF0" w:rsidRDefault="009C2EF0" w:rsidP="009C2EF0">
      <w:pPr>
        <w:pStyle w:val="level2bodystyle"/>
        <w:jc w:val="both"/>
        <w:rPr>
          <w:sz w:val="24"/>
          <w:szCs w:val="24"/>
          <w:lang w:val="es-ES"/>
        </w:rPr>
      </w:pPr>
      <w:r w:rsidRPr="009C2EF0">
        <w:rPr>
          <w:sz w:val="24"/>
          <w:szCs w:val="24"/>
          <w:lang w:val="es-ES"/>
        </w:rPr>
        <w:t>La seguridad del sujeto es de gran importancia tanto para el sujeto en individual como para las metas del estudio clínico. Si el acontecimiento es serio e inesperado, es obligatorio reportar inmediatamente al patrocinador y al Comité</w:t>
      </w:r>
      <w:r w:rsidR="00B07EBA">
        <w:rPr>
          <w:sz w:val="24"/>
          <w:szCs w:val="24"/>
          <w:lang w:val="es-ES"/>
        </w:rPr>
        <w:t xml:space="preserve"> de acuerdo a los tiempos establecidos</w:t>
      </w:r>
      <w:r w:rsidR="009B224C">
        <w:rPr>
          <w:sz w:val="24"/>
          <w:szCs w:val="24"/>
          <w:lang w:val="es-ES"/>
        </w:rPr>
        <w:t xml:space="preserve"> en el contrato (que no deben ser superiores a los 30 días de que sucedió el evento y en caso de que pusiera en peligro la seguridad de los sujetos de investigación no debe ser mayor a 10 días)</w:t>
      </w:r>
      <w:r w:rsidRPr="009C2EF0">
        <w:rPr>
          <w:sz w:val="24"/>
          <w:szCs w:val="24"/>
          <w:lang w:val="es-ES"/>
        </w:rPr>
        <w:t xml:space="preserve">.  Los informes serán revisados por el Presidente o el designado del Comité.  Si el presidente determina que es necesario actuar para proteger la seguridad de los sujetos de la investigación debido a la naturaleza, o a la frecuencia de los acontecimientos adversos reportados, él/ella puede tomar tal decisión, y/o el Comité  completo o el subcomité   designado revisarán los acontecimientos adversos y el estudio en cuestión para determinar la acción, si fuere necesaria, por parte del Comité.  El Comité  o el Comité  designado revisarán todos los informes de seguridad y los acontecimientos adversos serios cuanto antes en una reunión convocada </w:t>
      </w:r>
      <w:r w:rsidRPr="009C2EF0">
        <w:rPr>
          <w:i/>
          <w:sz w:val="24"/>
          <w:szCs w:val="24"/>
          <w:lang w:val="es-ES"/>
        </w:rPr>
        <w:t>ad hoc</w:t>
      </w:r>
      <w:r w:rsidRPr="009C2EF0">
        <w:rPr>
          <w:sz w:val="24"/>
          <w:szCs w:val="24"/>
          <w:lang w:val="es-ES"/>
        </w:rPr>
        <w:t>.</w:t>
      </w:r>
    </w:p>
    <w:p w14:paraId="3EC5D90D" w14:textId="77777777" w:rsidR="009C2EF0" w:rsidRPr="009C2EF0" w:rsidRDefault="009C2EF0" w:rsidP="009C2EF0">
      <w:pPr>
        <w:pStyle w:val="Ttulo2"/>
        <w:jc w:val="both"/>
        <w:rPr>
          <w:rFonts w:ascii="Arial" w:hAnsi="Arial" w:cs="Arial"/>
          <w:color w:val="auto"/>
          <w:sz w:val="24"/>
          <w:szCs w:val="24"/>
        </w:rPr>
      </w:pPr>
      <w:r w:rsidRPr="009C2EF0">
        <w:rPr>
          <w:rFonts w:ascii="Arial" w:hAnsi="Arial" w:cs="Arial"/>
          <w:color w:val="auto"/>
          <w:sz w:val="24"/>
          <w:szCs w:val="24"/>
        </w:rPr>
        <w:t>1.3 Problemas</w:t>
      </w:r>
      <w:r w:rsidR="00B07EBA">
        <w:rPr>
          <w:rFonts w:ascii="Arial" w:hAnsi="Arial" w:cs="Arial"/>
          <w:color w:val="auto"/>
          <w:sz w:val="24"/>
          <w:szCs w:val="24"/>
        </w:rPr>
        <w:t>/eventos</w:t>
      </w:r>
      <w:r w:rsidRPr="009C2EF0">
        <w:rPr>
          <w:rFonts w:ascii="Arial" w:hAnsi="Arial" w:cs="Arial"/>
          <w:color w:val="auto"/>
          <w:sz w:val="24"/>
          <w:szCs w:val="24"/>
        </w:rPr>
        <w:t xml:space="preserve"> inesperados</w:t>
      </w:r>
    </w:p>
    <w:p w14:paraId="4724B03F" w14:textId="51BEDBEE" w:rsidR="009C2EF0" w:rsidRDefault="009C2EF0" w:rsidP="009C2EF0">
      <w:pPr>
        <w:pStyle w:val="level2bodystyle"/>
        <w:jc w:val="both"/>
        <w:rPr>
          <w:sz w:val="24"/>
          <w:szCs w:val="24"/>
          <w:lang w:val="es-ES"/>
        </w:rPr>
      </w:pPr>
      <w:r w:rsidRPr="009C2EF0">
        <w:rPr>
          <w:sz w:val="24"/>
          <w:szCs w:val="24"/>
          <w:lang w:val="es-ES"/>
        </w:rPr>
        <w:t>Todos los problemas inesperados se deben informar rápidamente al Comité</w:t>
      </w:r>
      <w:r w:rsidR="00B07EBA">
        <w:rPr>
          <w:sz w:val="24"/>
          <w:szCs w:val="24"/>
          <w:lang w:val="es-ES"/>
        </w:rPr>
        <w:t xml:space="preserve"> dentro de lo establecido </w:t>
      </w:r>
      <w:r w:rsidR="000F64C6">
        <w:rPr>
          <w:sz w:val="24"/>
          <w:szCs w:val="24"/>
          <w:lang w:val="es-ES"/>
        </w:rPr>
        <w:t>por el contrato (que no deben ser superiores a los 30 días de que sucedió el evento y en caso de que pusiera en peligro la seguridad de los sujetos de investigación no debe ser mayor a 10 días)</w:t>
      </w:r>
      <w:r w:rsidRPr="009C2EF0">
        <w:rPr>
          <w:sz w:val="24"/>
          <w:szCs w:val="24"/>
          <w:lang w:val="es-ES"/>
        </w:rPr>
        <w:t xml:space="preserve">. Un problema inesperado se define como cualquier acontecimiento imprevisto que pueda involucrar riesgos o afecte la seguridad o el bienestar de sujetos o de otros, o que puedan afectar la integridad de la investigación. Ejemplos de un acontecimiento inesperado incluyen, pero no se limitan a: dificultad en el reclutamiento de los sujetos, índice de abandono del estudio mayor de lo esperado,  índice de desviación del protocolo más alto de lo previsto, pérdida de múltiples miembros del </w:t>
      </w:r>
      <w:proofErr w:type="spellStart"/>
      <w:r w:rsidRPr="009C2EF0">
        <w:rPr>
          <w:sz w:val="24"/>
          <w:szCs w:val="24"/>
          <w:lang w:val="es-ES"/>
        </w:rPr>
        <w:t>staff</w:t>
      </w:r>
      <w:proofErr w:type="spellEnd"/>
      <w:r w:rsidRPr="009C2EF0">
        <w:rPr>
          <w:sz w:val="24"/>
          <w:szCs w:val="24"/>
          <w:lang w:val="es-ES"/>
        </w:rPr>
        <w:t xml:space="preserve">, lesión de un miembro del </w:t>
      </w:r>
      <w:proofErr w:type="spellStart"/>
      <w:r w:rsidRPr="009C2EF0">
        <w:rPr>
          <w:sz w:val="24"/>
          <w:szCs w:val="24"/>
          <w:lang w:val="es-ES"/>
        </w:rPr>
        <w:t>staff</w:t>
      </w:r>
      <w:proofErr w:type="spellEnd"/>
      <w:r w:rsidRPr="009C2EF0">
        <w:rPr>
          <w:sz w:val="24"/>
          <w:szCs w:val="24"/>
          <w:lang w:val="es-ES"/>
        </w:rPr>
        <w:t xml:space="preserve"> en el trascurso de los procedimientos relacionados al estudio, dificultad del sujeto para entender el consentimiento informado.</w:t>
      </w:r>
    </w:p>
    <w:p w14:paraId="4CD40B50" w14:textId="293E816F" w:rsidR="0033655E" w:rsidRDefault="0033655E" w:rsidP="009C2EF0">
      <w:pPr>
        <w:pStyle w:val="level2bodystyle"/>
        <w:jc w:val="both"/>
        <w:rPr>
          <w:sz w:val="24"/>
          <w:szCs w:val="24"/>
          <w:lang w:val="es-ES"/>
        </w:rPr>
      </w:pPr>
      <w:r>
        <w:rPr>
          <w:sz w:val="24"/>
          <w:szCs w:val="24"/>
          <w:lang w:val="es-ES"/>
        </w:rPr>
        <w:t xml:space="preserve">De acuerdo a lo descrito en cada evento reportado, la Coordinación de Control de Calidad junto con el Presidente del CEI determinarán si este </w:t>
      </w:r>
      <w:r>
        <w:rPr>
          <w:sz w:val="24"/>
          <w:szCs w:val="24"/>
          <w:lang w:val="es-ES"/>
        </w:rPr>
        <w:lastRenderedPageBreak/>
        <w:t xml:space="preserve">evento no anticipado representa un riesgo para los participantes u otros o no, en caso de que si represente un riesgo grave, el Presidente del CEI reportará el caso a todos los miembros de los Comités y al Secretario de Investigación Clínica para decidir qué tipo de intervención se va a realizar. </w:t>
      </w:r>
    </w:p>
    <w:p w14:paraId="5DF8362C" w14:textId="77777777" w:rsidR="0033655E" w:rsidRDefault="0033655E" w:rsidP="009C2EF0">
      <w:pPr>
        <w:pStyle w:val="level2bodystyle"/>
        <w:jc w:val="both"/>
        <w:rPr>
          <w:sz w:val="24"/>
          <w:szCs w:val="24"/>
          <w:lang w:val="es-ES"/>
        </w:rPr>
      </w:pPr>
    </w:p>
    <w:p w14:paraId="16430E54" w14:textId="38F5899F" w:rsidR="0033655E" w:rsidRDefault="0033655E" w:rsidP="009C2EF0">
      <w:pPr>
        <w:pStyle w:val="level2bodystyle"/>
        <w:jc w:val="both"/>
        <w:rPr>
          <w:sz w:val="24"/>
          <w:szCs w:val="24"/>
          <w:lang w:val="es-ES"/>
        </w:rPr>
      </w:pPr>
      <w:r>
        <w:rPr>
          <w:sz w:val="24"/>
          <w:szCs w:val="24"/>
          <w:lang w:val="es-ES"/>
        </w:rPr>
        <w:t xml:space="preserve">En este caso, el CEI en la reunión determinará si el estudio puede continuar o si debe ser suspendido hasta que el riesgo desaparezca. Todas las determinaciones o decisiones que se tomen en la junta de los comités deben ser escritas y documentadas en la minuta. Ahí se describirá que tipo de evento inesperado fue, que acción debe realizar el investigador principal, como debe resolverse y por cuánto tiempo debe mantenerse. </w:t>
      </w:r>
    </w:p>
    <w:p w14:paraId="3EAD6B68" w14:textId="77777777" w:rsidR="0033655E" w:rsidRDefault="0033655E" w:rsidP="009C2EF0">
      <w:pPr>
        <w:pStyle w:val="level2bodystyle"/>
        <w:jc w:val="both"/>
        <w:rPr>
          <w:sz w:val="24"/>
          <w:szCs w:val="24"/>
          <w:lang w:val="es-ES"/>
        </w:rPr>
      </w:pPr>
    </w:p>
    <w:p w14:paraId="1DFE5C09" w14:textId="57607D91" w:rsidR="0033655E" w:rsidRDefault="0033655E" w:rsidP="009C2EF0">
      <w:pPr>
        <w:pStyle w:val="level2bodystyle"/>
        <w:jc w:val="both"/>
        <w:rPr>
          <w:sz w:val="24"/>
          <w:szCs w:val="24"/>
          <w:lang w:val="es-ES"/>
        </w:rPr>
      </w:pPr>
      <w:r>
        <w:rPr>
          <w:sz w:val="24"/>
          <w:szCs w:val="24"/>
          <w:lang w:val="es-ES"/>
        </w:rPr>
        <w:t xml:space="preserve">Las acciones a considerar por el CEI pueden incluir: </w:t>
      </w:r>
    </w:p>
    <w:p w14:paraId="2BBE18F1" w14:textId="30BD3F7B" w:rsidR="0033655E" w:rsidRDefault="0033655E" w:rsidP="0033655E">
      <w:pPr>
        <w:pStyle w:val="level2bodystyle"/>
        <w:numPr>
          <w:ilvl w:val="0"/>
          <w:numId w:val="9"/>
        </w:numPr>
        <w:jc w:val="both"/>
        <w:rPr>
          <w:sz w:val="24"/>
          <w:szCs w:val="24"/>
          <w:lang w:val="es-ES"/>
        </w:rPr>
      </w:pPr>
      <w:r>
        <w:rPr>
          <w:sz w:val="24"/>
          <w:szCs w:val="24"/>
          <w:lang w:val="es-ES"/>
        </w:rPr>
        <w:t>Suspensión de la investigación</w:t>
      </w:r>
    </w:p>
    <w:p w14:paraId="07FDDABD" w14:textId="73D7AA6E" w:rsidR="0033655E" w:rsidRDefault="0033655E" w:rsidP="0033655E">
      <w:pPr>
        <w:pStyle w:val="level2bodystyle"/>
        <w:numPr>
          <w:ilvl w:val="0"/>
          <w:numId w:val="9"/>
        </w:numPr>
        <w:jc w:val="both"/>
        <w:rPr>
          <w:sz w:val="24"/>
          <w:szCs w:val="24"/>
          <w:lang w:val="es-ES"/>
        </w:rPr>
      </w:pPr>
      <w:r>
        <w:rPr>
          <w:sz w:val="24"/>
          <w:szCs w:val="24"/>
          <w:lang w:val="es-ES"/>
        </w:rPr>
        <w:t>Terminación de la investigación</w:t>
      </w:r>
    </w:p>
    <w:p w14:paraId="49CA6028" w14:textId="2648C7BE" w:rsidR="0033655E" w:rsidRDefault="0033655E" w:rsidP="0033655E">
      <w:pPr>
        <w:pStyle w:val="level2bodystyle"/>
        <w:numPr>
          <w:ilvl w:val="0"/>
          <w:numId w:val="9"/>
        </w:numPr>
        <w:jc w:val="both"/>
        <w:rPr>
          <w:sz w:val="24"/>
          <w:szCs w:val="24"/>
          <w:lang w:val="es-ES"/>
        </w:rPr>
      </w:pPr>
      <w:r>
        <w:rPr>
          <w:sz w:val="24"/>
          <w:szCs w:val="24"/>
          <w:lang w:val="es-ES"/>
        </w:rPr>
        <w:t xml:space="preserve">Notificación a los sujetos de investigación cuando esta pueda estar relacionada a su voluntad de seguir participando o no en el estudio. </w:t>
      </w:r>
    </w:p>
    <w:p w14:paraId="5123929F" w14:textId="208E32A3" w:rsidR="0033655E" w:rsidRDefault="0033655E" w:rsidP="0033655E">
      <w:pPr>
        <w:pStyle w:val="level2bodystyle"/>
        <w:jc w:val="both"/>
        <w:rPr>
          <w:sz w:val="24"/>
          <w:szCs w:val="24"/>
          <w:lang w:val="es-ES"/>
        </w:rPr>
      </w:pPr>
      <w:r>
        <w:rPr>
          <w:sz w:val="24"/>
          <w:szCs w:val="24"/>
          <w:lang w:val="es-ES"/>
        </w:rPr>
        <w:t>El Presidente del CEI debe reportar cualquier evento inesperado que ponga en peligro a los participantes o a otros al Subdirector de Investigación o cualquier otra agencia reguladora si es necesario, en un periodo no mayor a 30 días.</w:t>
      </w:r>
    </w:p>
    <w:p w14:paraId="421D8449" w14:textId="77777777" w:rsidR="0033655E" w:rsidRPr="009C2EF0" w:rsidRDefault="0033655E" w:rsidP="009C2EF0">
      <w:pPr>
        <w:pStyle w:val="level2bodystyle"/>
        <w:jc w:val="both"/>
        <w:rPr>
          <w:sz w:val="24"/>
          <w:szCs w:val="24"/>
          <w:lang w:val="es-ES"/>
        </w:rPr>
      </w:pPr>
    </w:p>
    <w:p w14:paraId="658A49A2" w14:textId="77777777" w:rsidR="009C2EF0" w:rsidRPr="009C2EF0" w:rsidRDefault="009C2EF0" w:rsidP="009C2EF0">
      <w:pPr>
        <w:spacing w:before="120" w:after="120"/>
        <w:ind w:left="288"/>
        <w:jc w:val="both"/>
        <w:rPr>
          <w:rFonts w:ascii="Arial" w:hAnsi="Arial" w:cs="Arial"/>
        </w:rPr>
      </w:pPr>
      <w:r w:rsidRPr="009C2EF0">
        <w:rPr>
          <w:rFonts w:ascii="Arial" w:hAnsi="Arial" w:cs="Arial"/>
          <w:b/>
        </w:rPr>
        <w:t>1.4 Enmiendas</w:t>
      </w:r>
    </w:p>
    <w:p w14:paraId="0537C983" w14:textId="77777777" w:rsidR="009C2EF0" w:rsidRPr="009C2EF0" w:rsidRDefault="009C2EF0" w:rsidP="009C2EF0">
      <w:pPr>
        <w:pStyle w:val="level2bodystyle"/>
        <w:jc w:val="both"/>
        <w:rPr>
          <w:sz w:val="24"/>
          <w:szCs w:val="24"/>
          <w:lang w:val="es-ES"/>
        </w:rPr>
      </w:pPr>
      <w:r w:rsidRPr="009C2EF0">
        <w:rPr>
          <w:sz w:val="24"/>
          <w:szCs w:val="24"/>
          <w:lang w:val="es-ES"/>
        </w:rPr>
        <w:t>Cambios en la investigación aprobada durante el período para el cual la aprobación ya se ha dado. No se pueden implementar sin la revisión y aprobación previas del Comité  (revisión completa o revisión expedita, según sea  apropiado), excepto cuando sea necesario eliminar peligros inmediatos aparentes a los sujetos humanos.</w:t>
      </w:r>
    </w:p>
    <w:p w14:paraId="483A4B28" w14:textId="77777777" w:rsidR="009C2EF0" w:rsidRDefault="009C2EF0" w:rsidP="009C2EF0">
      <w:pPr>
        <w:pStyle w:val="level2bodystyle"/>
        <w:jc w:val="both"/>
        <w:rPr>
          <w:sz w:val="24"/>
          <w:szCs w:val="24"/>
          <w:lang w:val="es-ES"/>
        </w:rPr>
      </w:pPr>
      <w:r w:rsidRPr="009C2EF0">
        <w:rPr>
          <w:sz w:val="24"/>
          <w:szCs w:val="24"/>
          <w:lang w:val="es-ES"/>
        </w:rPr>
        <w:t xml:space="preserve">Los investigadores o los patrocinadores deben someter las peticiones para los cambios al Comité  por escrito.  Una vez recibido el cambio al  protocolo, el Presidente determinará si la revisión cumple los criterios para el riesgo mínimo.  Si el cambio representa más que un riesgo </w:t>
      </w:r>
      <w:r w:rsidRPr="009C2EF0">
        <w:rPr>
          <w:sz w:val="24"/>
          <w:szCs w:val="24"/>
          <w:lang w:val="es-ES"/>
        </w:rPr>
        <w:lastRenderedPageBreak/>
        <w:t>mínimo a los sujetos, debe ser revisado y ser aprobado por el Comité de Ética, Investigación y Bioseguridad.  Los cambios de menor importancia, que no  involucran más que un riesgo mínimo al sujeto, serán revisados por el procedimiento de revisión expedita (revisión del SOP RR 401-Expeditado).</w:t>
      </w:r>
    </w:p>
    <w:p w14:paraId="082EF69F" w14:textId="074696CD" w:rsidR="00D844CD" w:rsidRDefault="00D844CD" w:rsidP="009C2EF0">
      <w:pPr>
        <w:pStyle w:val="level2bodystyle"/>
        <w:jc w:val="both"/>
        <w:rPr>
          <w:sz w:val="24"/>
          <w:szCs w:val="24"/>
          <w:lang w:val="es-ES"/>
        </w:rPr>
      </w:pPr>
      <w:r>
        <w:rPr>
          <w:sz w:val="24"/>
          <w:szCs w:val="24"/>
          <w:lang w:val="es-ES"/>
        </w:rPr>
        <w:t>La relevancia de las enmiendas se clasifican en:</w:t>
      </w:r>
    </w:p>
    <w:p w14:paraId="3A13DD36" w14:textId="77777777" w:rsidR="00D844CD" w:rsidRDefault="00D844CD" w:rsidP="00D844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color w:val="000000"/>
          <w:sz w:val="21"/>
          <w:szCs w:val="21"/>
        </w:rPr>
      </w:pPr>
      <w:r>
        <w:rPr>
          <w:rFonts w:ascii="Arial" w:eastAsiaTheme="minorEastAsia" w:hAnsi="Arial" w:cs="Arial"/>
          <w:b/>
          <w:bCs/>
          <w:color w:val="000000"/>
          <w:sz w:val="21"/>
          <w:szCs w:val="21"/>
        </w:rPr>
        <w:t xml:space="preserve">Enmienda No relevante: </w:t>
      </w:r>
      <w:r>
        <w:rPr>
          <w:rFonts w:ascii="Arial" w:eastAsiaTheme="minorEastAsia" w:hAnsi="Arial" w:cs="Arial"/>
          <w:color w:val="000000"/>
          <w:sz w:val="21"/>
          <w:szCs w:val="21"/>
        </w:rPr>
        <w:t>Se considerarán aquellas modificaciones del protocolo que no supongan un cambio de diseño del estudio, con aumento del riesgo, o no, para los sujetos participantes.</w:t>
      </w:r>
    </w:p>
    <w:p w14:paraId="271A36F0" w14:textId="77777777" w:rsidR="00D844CD" w:rsidRDefault="00D844CD" w:rsidP="00D844CD">
      <w:pPr>
        <w:jc w:val="both"/>
        <w:rPr>
          <w:rFonts w:ascii="Arial" w:hAnsi="Arial" w:cs="Arial"/>
        </w:rPr>
      </w:pPr>
      <w:r>
        <w:rPr>
          <w:rFonts w:ascii="Arial" w:eastAsiaTheme="minorEastAsia" w:hAnsi="Arial" w:cs="Arial"/>
          <w:b/>
          <w:bCs/>
          <w:color w:val="000000"/>
          <w:sz w:val="21"/>
          <w:szCs w:val="21"/>
        </w:rPr>
        <w:t xml:space="preserve">Enmienda Relevante: </w:t>
      </w:r>
      <w:r>
        <w:rPr>
          <w:rFonts w:ascii="Arial" w:eastAsiaTheme="minorEastAsia" w:hAnsi="Arial" w:cs="Arial"/>
          <w:color w:val="000000"/>
          <w:sz w:val="21"/>
          <w:szCs w:val="21"/>
        </w:rPr>
        <w:t>Se considerarán aquellas modificaciones del protocolo que supongan un cambio de diseño del estudio, con aumento del riesgo, o no, para los sujetos participantes.</w:t>
      </w:r>
    </w:p>
    <w:p w14:paraId="0CB7EE88" w14:textId="77777777" w:rsidR="00D844CD" w:rsidRPr="009C2EF0" w:rsidRDefault="00D844CD" w:rsidP="009C2EF0">
      <w:pPr>
        <w:pStyle w:val="level2bodystyle"/>
        <w:jc w:val="both"/>
        <w:rPr>
          <w:sz w:val="24"/>
          <w:szCs w:val="24"/>
          <w:lang w:val="es-ES"/>
        </w:rPr>
      </w:pPr>
    </w:p>
    <w:p w14:paraId="7F620994" w14:textId="77777777" w:rsidR="009C2EF0" w:rsidRPr="009C2EF0" w:rsidRDefault="009C2EF0" w:rsidP="009C2EF0">
      <w:pPr>
        <w:spacing w:before="120" w:after="120"/>
        <w:ind w:left="288"/>
        <w:jc w:val="both"/>
        <w:rPr>
          <w:rFonts w:ascii="Arial" w:hAnsi="Arial" w:cs="Arial"/>
        </w:rPr>
      </w:pPr>
      <w:r w:rsidRPr="009C2EF0">
        <w:rPr>
          <w:rFonts w:ascii="Arial" w:hAnsi="Arial" w:cs="Arial"/>
          <w:b/>
        </w:rPr>
        <w:t>1.5 Nuevos Resultados Significativos</w:t>
      </w:r>
    </w:p>
    <w:p w14:paraId="6F1680FA" w14:textId="77777777" w:rsidR="009C2EF0" w:rsidRPr="009C2EF0" w:rsidRDefault="009C2EF0" w:rsidP="009C2EF0">
      <w:pPr>
        <w:pStyle w:val="level2bodystyle"/>
        <w:jc w:val="both"/>
        <w:rPr>
          <w:sz w:val="24"/>
          <w:szCs w:val="24"/>
          <w:lang w:val="es-ES"/>
        </w:rPr>
      </w:pPr>
      <w:r w:rsidRPr="009C2EF0">
        <w:rPr>
          <w:sz w:val="24"/>
          <w:szCs w:val="24"/>
          <w:lang w:val="es-ES"/>
        </w:rPr>
        <w:t xml:space="preserve">Durante el curso de un estudio, el Comité  puede revisar los informes generados por  el  Comité  de Monitoreo de Datos y Seguridad (DSMB), informes de eventos adversos, literatura actual, y otras fuentes que ayuden a constatar el estatus del estudio y evaluar si el equilibrio entre riesgo y beneficio sigue siendo o no aceptable.  El Comité  determinará si la información nueva  necesita o no ser transmitida a los sujetos, o si un segmento de la población (de sujetos de estudio) podría estar llevando una carga excesiva y/o indebida de riesgo en la investigación y/o se le esté negando el acceso a una terapia prometedora. </w:t>
      </w:r>
    </w:p>
    <w:p w14:paraId="4D5EEDBB" w14:textId="77777777" w:rsidR="009C2EF0" w:rsidRPr="009C2EF0" w:rsidRDefault="009C2EF0" w:rsidP="009C2EF0">
      <w:pPr>
        <w:pStyle w:val="level2bodystyle"/>
        <w:jc w:val="both"/>
        <w:rPr>
          <w:sz w:val="24"/>
          <w:szCs w:val="24"/>
          <w:lang w:val="es-ES"/>
        </w:rPr>
      </w:pPr>
    </w:p>
    <w:p w14:paraId="4DD302F6" w14:textId="77777777" w:rsidR="009C2EF0" w:rsidRPr="009C2EF0" w:rsidRDefault="009C2EF0" w:rsidP="009C2EF0">
      <w:pPr>
        <w:pStyle w:val="level2bodystyle"/>
        <w:jc w:val="both"/>
        <w:rPr>
          <w:sz w:val="24"/>
          <w:szCs w:val="24"/>
          <w:lang w:val="es-ES"/>
        </w:rPr>
      </w:pPr>
    </w:p>
    <w:p w14:paraId="33258404" w14:textId="77777777" w:rsidR="009C2EF0" w:rsidRPr="009C2EF0" w:rsidRDefault="009C2EF0" w:rsidP="009C2EF0">
      <w:pPr>
        <w:spacing w:before="120" w:after="120"/>
        <w:ind w:left="288"/>
        <w:jc w:val="both"/>
        <w:rPr>
          <w:rFonts w:ascii="Arial" w:hAnsi="Arial" w:cs="Arial"/>
          <w:b/>
        </w:rPr>
      </w:pPr>
      <w:r w:rsidRPr="009C2EF0">
        <w:rPr>
          <w:rFonts w:ascii="Arial" w:hAnsi="Arial" w:cs="Arial"/>
          <w:b/>
        </w:rPr>
        <w:t>1.6 Informes de empleados, del personal y de la Facultad.                  (Profesorado).</w:t>
      </w:r>
    </w:p>
    <w:p w14:paraId="41464F77" w14:textId="179D9C33" w:rsidR="009C2EF0" w:rsidRPr="009C2EF0" w:rsidRDefault="009C2EF0" w:rsidP="009C2EF0">
      <w:pPr>
        <w:pStyle w:val="level2bodystyle"/>
        <w:jc w:val="both"/>
        <w:rPr>
          <w:sz w:val="24"/>
          <w:szCs w:val="24"/>
          <w:lang w:val="es-ES"/>
        </w:rPr>
      </w:pPr>
      <w:r w:rsidRPr="009C2EF0">
        <w:rPr>
          <w:sz w:val="24"/>
          <w:szCs w:val="24"/>
          <w:lang w:val="es-ES"/>
        </w:rPr>
        <w:t>Es la responsabilidad del personal del Comité  y sus miembros  actuar en respuesta a la información o a los reportes recibidos de cualquier fuente que indiquen que un estudio conducido en cualquier instalación bajo jurisdicción del Comité de Ética, Investigación podría afectar negativamente los derechos y/o bienestar de los sujetos de la investigación.</w:t>
      </w:r>
    </w:p>
    <w:p w14:paraId="4163630B" w14:textId="77777777" w:rsidR="009C2EF0" w:rsidRDefault="009C2EF0" w:rsidP="009C2EF0">
      <w:pPr>
        <w:pStyle w:val="Ttulo2"/>
        <w:ind w:left="810" w:hanging="450"/>
        <w:jc w:val="both"/>
        <w:rPr>
          <w:rFonts w:ascii="Arial" w:hAnsi="Arial" w:cs="Arial"/>
          <w:color w:val="auto"/>
          <w:sz w:val="24"/>
          <w:szCs w:val="24"/>
        </w:rPr>
      </w:pPr>
      <w:r w:rsidRPr="009C2EF0">
        <w:rPr>
          <w:rFonts w:ascii="Arial" w:hAnsi="Arial" w:cs="Arial"/>
          <w:color w:val="auto"/>
          <w:sz w:val="24"/>
          <w:szCs w:val="24"/>
        </w:rPr>
        <w:t>1.7  Garantía de un informe puntual de incumplimiento serio o continuo de las Regulaciones Aplicables o los Requerimientos y/o Determinaciones del Comité.</w:t>
      </w:r>
    </w:p>
    <w:p w14:paraId="1CDB7C88" w14:textId="77777777" w:rsidR="00B07EBA" w:rsidRPr="009835F0" w:rsidRDefault="00B07EBA" w:rsidP="009835F0"/>
    <w:p w14:paraId="2B453796" w14:textId="4FCAA03F" w:rsidR="009C2EF0" w:rsidRPr="009C2EF0" w:rsidRDefault="009C2EF0" w:rsidP="009C2EF0">
      <w:pPr>
        <w:pStyle w:val="level2bodystyle"/>
        <w:jc w:val="both"/>
        <w:rPr>
          <w:sz w:val="24"/>
          <w:szCs w:val="24"/>
          <w:lang w:val="es-ES"/>
        </w:rPr>
      </w:pPr>
      <w:r w:rsidRPr="009C2EF0">
        <w:rPr>
          <w:sz w:val="24"/>
          <w:szCs w:val="24"/>
          <w:lang w:val="es-ES"/>
        </w:rPr>
        <w:lastRenderedPageBreak/>
        <w:t xml:space="preserve">Todos los informes que indiquen la participación inadecuada de sujetos humanos en la investigación se deben revisar por el Presidente y referirse a los miembros del Comité.  Los resultados de la investigación serán reportados </w:t>
      </w:r>
      <w:r w:rsidR="000F64C6">
        <w:rPr>
          <w:sz w:val="24"/>
          <w:szCs w:val="24"/>
          <w:lang w:val="es-ES"/>
        </w:rPr>
        <w:t xml:space="preserve">(en un periodo no mayor a los 30 días de que sucedió el evento y en caso de que pusiera en peligro la seguridad de los sujetos de investigación no debe ser mayor a 10 días) </w:t>
      </w:r>
      <w:r w:rsidRPr="009C2EF0">
        <w:rPr>
          <w:sz w:val="24"/>
          <w:szCs w:val="24"/>
          <w:lang w:val="es-ES"/>
        </w:rPr>
        <w:t>al funcionario apropiado</w:t>
      </w:r>
      <w:r w:rsidR="00B07EBA">
        <w:rPr>
          <w:sz w:val="24"/>
          <w:szCs w:val="24"/>
          <w:lang w:val="es-ES"/>
        </w:rPr>
        <w:t xml:space="preserve"> </w:t>
      </w:r>
      <w:r w:rsidR="0062720C">
        <w:rPr>
          <w:sz w:val="24"/>
          <w:szCs w:val="24"/>
          <w:lang w:val="es-ES"/>
        </w:rPr>
        <w:t>entendiendo como máxima autoridad a COFEPRIS, así como al Comité de Ética</w:t>
      </w:r>
      <w:r w:rsidRPr="009C2EF0">
        <w:rPr>
          <w:sz w:val="24"/>
          <w:szCs w:val="24"/>
          <w:lang w:val="es-ES"/>
        </w:rPr>
        <w:t xml:space="preserve">. </w:t>
      </w:r>
      <w:r w:rsidR="0062720C">
        <w:rPr>
          <w:sz w:val="24"/>
          <w:szCs w:val="24"/>
          <w:lang w:val="es-ES"/>
        </w:rPr>
        <w:t xml:space="preserve">Los </w:t>
      </w:r>
      <w:r w:rsidRPr="009C2EF0">
        <w:rPr>
          <w:sz w:val="24"/>
          <w:szCs w:val="24"/>
          <w:lang w:val="es-ES"/>
        </w:rPr>
        <w:t xml:space="preserve">patrocinadores </w:t>
      </w:r>
      <w:r w:rsidR="009835F0">
        <w:rPr>
          <w:sz w:val="24"/>
          <w:szCs w:val="24"/>
          <w:lang w:val="es-ES"/>
        </w:rPr>
        <w:t>deberán</w:t>
      </w:r>
      <w:r w:rsidR="0062720C" w:rsidRPr="009C2EF0">
        <w:rPr>
          <w:sz w:val="24"/>
          <w:szCs w:val="24"/>
          <w:lang w:val="es-ES"/>
        </w:rPr>
        <w:t xml:space="preserve"> </w:t>
      </w:r>
      <w:r w:rsidRPr="009C2EF0">
        <w:rPr>
          <w:sz w:val="24"/>
          <w:szCs w:val="24"/>
          <w:lang w:val="es-ES"/>
        </w:rPr>
        <w:t>también ser notificados.  Tales informes de incumplimiento pueden venir de cualquier fuente incluyendo miembros del Comité, investigadores, sujetos, personal institucional, los medios, los patrocinadores, las fuentes anónimas o el público.</w:t>
      </w:r>
    </w:p>
    <w:p w14:paraId="19724897" w14:textId="2024D2A5" w:rsidR="009C2EF0" w:rsidRPr="009C2EF0" w:rsidRDefault="009C2EF0" w:rsidP="009C2EF0">
      <w:pPr>
        <w:pStyle w:val="level2bodystyle"/>
        <w:jc w:val="both"/>
        <w:rPr>
          <w:sz w:val="24"/>
          <w:szCs w:val="24"/>
          <w:lang w:val="es-ES"/>
        </w:rPr>
      </w:pPr>
      <w:r w:rsidRPr="009C2EF0">
        <w:rPr>
          <w:sz w:val="24"/>
          <w:szCs w:val="24"/>
          <w:lang w:val="es-ES"/>
        </w:rPr>
        <w:t>El Comité  tiene la autoridad para suspender o terminar la aprobación de una investigación que no se esté conduciendo acorde a las políticas del Comité de Ética, Investigación, que no esté cumpliendo con las leyes y normas federales, o que esté asociada a daño serio inesperado a los sujetos. </w:t>
      </w:r>
    </w:p>
    <w:p w14:paraId="50578D30" w14:textId="77777777" w:rsidR="00E67A9D" w:rsidRDefault="00E67A9D" w:rsidP="00DB53D2">
      <w:pPr>
        <w:jc w:val="both"/>
        <w:rPr>
          <w:rFonts w:ascii="Arial" w:hAnsi="Arial" w:cs="Arial"/>
          <w:b/>
        </w:rPr>
      </w:pPr>
    </w:p>
    <w:p w14:paraId="25C3949D" w14:textId="1D156A58" w:rsidR="00EA7389" w:rsidRDefault="00EA7389" w:rsidP="00DB53D2">
      <w:pPr>
        <w:jc w:val="both"/>
        <w:rPr>
          <w:rFonts w:ascii="Arial" w:hAnsi="Arial" w:cs="Arial"/>
          <w:b/>
        </w:rPr>
      </w:pPr>
      <w:r>
        <w:rPr>
          <w:rFonts w:ascii="Arial" w:hAnsi="Arial" w:cs="Arial"/>
          <w:b/>
        </w:rPr>
        <w:t>1.8. Tiempos de reporte</w:t>
      </w:r>
    </w:p>
    <w:p w14:paraId="599D8477" w14:textId="77777777" w:rsidR="00EA7389" w:rsidRDefault="00EA7389" w:rsidP="00DB53D2">
      <w:pPr>
        <w:jc w:val="both"/>
        <w:rPr>
          <w:rFonts w:ascii="Arial" w:hAnsi="Arial" w:cs="Arial"/>
          <w:b/>
        </w:rPr>
      </w:pPr>
    </w:p>
    <w:tbl>
      <w:tblPr>
        <w:tblStyle w:val="Tablaconcuadrcula"/>
        <w:tblW w:w="0" w:type="auto"/>
        <w:tblLook w:val="04A0" w:firstRow="1" w:lastRow="0" w:firstColumn="1" w:lastColumn="0" w:noHBand="0" w:noVBand="1"/>
      </w:tblPr>
      <w:tblGrid>
        <w:gridCol w:w="4490"/>
        <w:gridCol w:w="4490"/>
      </w:tblGrid>
      <w:tr w:rsidR="00EA7389" w14:paraId="66675052" w14:textId="77777777" w:rsidTr="00EA7389">
        <w:tc>
          <w:tcPr>
            <w:tcW w:w="4490" w:type="dxa"/>
          </w:tcPr>
          <w:p w14:paraId="6D014988" w14:textId="330F32C4" w:rsidR="00EA7389" w:rsidRDefault="00C71110" w:rsidP="00E55227">
            <w:pPr>
              <w:jc w:val="both"/>
              <w:rPr>
                <w:rFonts w:ascii="Arial" w:hAnsi="Arial" w:cs="Arial"/>
                <w:b/>
              </w:rPr>
            </w:pPr>
            <w:r>
              <w:rPr>
                <w:rFonts w:ascii="Arial" w:hAnsi="Arial" w:cs="Arial"/>
                <w:b/>
              </w:rPr>
              <w:t>Informe</w:t>
            </w:r>
            <w:r w:rsidR="00EA7389">
              <w:rPr>
                <w:rFonts w:ascii="Arial" w:hAnsi="Arial" w:cs="Arial"/>
                <w:b/>
              </w:rPr>
              <w:t xml:space="preserve"> </w:t>
            </w:r>
            <w:r w:rsidR="00E55227">
              <w:rPr>
                <w:rFonts w:ascii="Arial" w:hAnsi="Arial" w:cs="Arial"/>
                <w:b/>
              </w:rPr>
              <w:t xml:space="preserve">Técnico Parcial </w:t>
            </w:r>
          </w:p>
        </w:tc>
        <w:tc>
          <w:tcPr>
            <w:tcW w:w="4490" w:type="dxa"/>
          </w:tcPr>
          <w:p w14:paraId="656ECACF" w14:textId="61BF1E78" w:rsidR="00EA7389" w:rsidRDefault="00E55227" w:rsidP="00E55227">
            <w:pPr>
              <w:jc w:val="both"/>
              <w:rPr>
                <w:rFonts w:ascii="Arial" w:hAnsi="Arial" w:cs="Arial"/>
                <w:b/>
              </w:rPr>
            </w:pPr>
            <w:r>
              <w:rPr>
                <w:rFonts w:ascii="Arial" w:hAnsi="Arial" w:cs="Arial"/>
                <w:b/>
              </w:rPr>
              <w:t>Hasta 5 semanas antes de que venza el estudio</w:t>
            </w:r>
            <w:r w:rsidR="00EA7389">
              <w:rPr>
                <w:rFonts w:ascii="Arial" w:hAnsi="Arial" w:cs="Arial"/>
                <w:b/>
              </w:rPr>
              <w:t>.</w:t>
            </w:r>
            <w:r>
              <w:rPr>
                <w:rFonts w:ascii="Arial" w:hAnsi="Arial" w:cs="Arial"/>
                <w:b/>
              </w:rPr>
              <w:t xml:space="preserve"> E</w:t>
            </w:r>
            <w:r>
              <w:rPr>
                <w:rFonts w:ascii="Arial" w:hAnsi="Arial" w:cs="Arial"/>
                <w:b/>
              </w:rPr>
              <w:t xml:space="preserve">n caso de no recibir renovación, el estudio se considerará </w:t>
            </w:r>
            <w:r>
              <w:rPr>
                <w:rFonts w:ascii="Arial" w:hAnsi="Arial" w:cs="Arial"/>
                <w:b/>
              </w:rPr>
              <w:t>suspendido</w:t>
            </w:r>
            <w:r>
              <w:rPr>
                <w:rFonts w:ascii="Arial" w:hAnsi="Arial" w:cs="Arial"/>
                <w:b/>
              </w:rPr>
              <w:t xml:space="preserve"> </w:t>
            </w:r>
            <w:r>
              <w:rPr>
                <w:rFonts w:ascii="Arial" w:hAnsi="Arial" w:cs="Arial"/>
                <w:b/>
              </w:rPr>
              <w:t>por 6 meses o hasta que se reciba una notificación de la omisión del sometimiento. Después de 6 meses el estudio será cancelado.</w:t>
            </w:r>
          </w:p>
        </w:tc>
      </w:tr>
      <w:tr w:rsidR="00EA7389" w14:paraId="350F3A29" w14:textId="77777777" w:rsidTr="00EA7389">
        <w:tc>
          <w:tcPr>
            <w:tcW w:w="4490" w:type="dxa"/>
          </w:tcPr>
          <w:p w14:paraId="248153ED" w14:textId="70F4FF45" w:rsidR="00EA7389" w:rsidRDefault="00EA7389" w:rsidP="000F64C6">
            <w:pPr>
              <w:jc w:val="both"/>
              <w:rPr>
                <w:rFonts w:ascii="Arial" w:hAnsi="Arial" w:cs="Arial"/>
                <w:b/>
              </w:rPr>
            </w:pPr>
            <w:r>
              <w:rPr>
                <w:rFonts w:ascii="Arial" w:hAnsi="Arial" w:cs="Arial"/>
                <w:b/>
              </w:rPr>
              <w:t xml:space="preserve">Reporte de eventos </w:t>
            </w:r>
            <w:r w:rsidR="000F64C6">
              <w:rPr>
                <w:rFonts w:ascii="Arial" w:hAnsi="Arial" w:cs="Arial"/>
                <w:b/>
              </w:rPr>
              <w:t xml:space="preserve">adversos </w:t>
            </w:r>
            <w:r>
              <w:rPr>
                <w:rFonts w:ascii="Arial" w:hAnsi="Arial" w:cs="Arial"/>
                <w:b/>
              </w:rPr>
              <w:t>serios</w:t>
            </w:r>
          </w:p>
        </w:tc>
        <w:tc>
          <w:tcPr>
            <w:tcW w:w="4490" w:type="dxa"/>
          </w:tcPr>
          <w:p w14:paraId="107D616D" w14:textId="1E0622C9" w:rsidR="00EA7389" w:rsidRDefault="00EA7389" w:rsidP="00C71110">
            <w:pPr>
              <w:jc w:val="both"/>
              <w:rPr>
                <w:rFonts w:ascii="Arial" w:hAnsi="Arial" w:cs="Arial"/>
                <w:b/>
              </w:rPr>
            </w:pPr>
            <w:r>
              <w:rPr>
                <w:rFonts w:ascii="Arial" w:hAnsi="Arial" w:cs="Arial"/>
                <w:b/>
              </w:rPr>
              <w:t xml:space="preserve">Se deberá enviar el reporte con un tiempo no </w:t>
            </w:r>
            <w:r w:rsidR="00C71110">
              <w:rPr>
                <w:rFonts w:ascii="Arial" w:hAnsi="Arial" w:cs="Arial"/>
                <w:b/>
              </w:rPr>
              <w:t>mayor a</w:t>
            </w:r>
            <w:r>
              <w:rPr>
                <w:rFonts w:ascii="Arial" w:hAnsi="Arial" w:cs="Arial"/>
                <w:b/>
              </w:rPr>
              <w:t xml:space="preserve"> </w:t>
            </w:r>
            <w:r w:rsidR="00501E1C">
              <w:rPr>
                <w:rFonts w:ascii="Arial" w:hAnsi="Arial" w:cs="Arial"/>
                <w:b/>
              </w:rPr>
              <w:t>5</w:t>
            </w:r>
            <w:r>
              <w:rPr>
                <w:rFonts w:ascii="Arial" w:hAnsi="Arial" w:cs="Arial"/>
                <w:b/>
              </w:rPr>
              <w:t xml:space="preserve"> días</w:t>
            </w:r>
            <w:r w:rsidR="00501E1C">
              <w:rPr>
                <w:rFonts w:ascii="Arial" w:hAnsi="Arial" w:cs="Arial"/>
                <w:b/>
              </w:rPr>
              <w:t xml:space="preserve"> hábiles</w:t>
            </w:r>
            <w:r>
              <w:rPr>
                <w:rFonts w:ascii="Arial" w:hAnsi="Arial" w:cs="Arial"/>
                <w:b/>
              </w:rPr>
              <w:t xml:space="preserve"> posterior al conocimiento del evento.</w:t>
            </w:r>
          </w:p>
        </w:tc>
      </w:tr>
      <w:tr w:rsidR="00BD1130" w14:paraId="3166FF55" w14:textId="77777777" w:rsidTr="00EA7389">
        <w:tc>
          <w:tcPr>
            <w:tcW w:w="4490" w:type="dxa"/>
          </w:tcPr>
          <w:p w14:paraId="7B90CFDD" w14:textId="575E2556" w:rsidR="00BD1130" w:rsidRDefault="00BD1130" w:rsidP="00DB53D2">
            <w:pPr>
              <w:jc w:val="both"/>
              <w:rPr>
                <w:rFonts w:ascii="Arial" w:hAnsi="Arial" w:cs="Arial"/>
                <w:b/>
              </w:rPr>
            </w:pPr>
            <w:r>
              <w:rPr>
                <w:rFonts w:ascii="Arial" w:hAnsi="Arial" w:cs="Arial"/>
                <w:b/>
              </w:rPr>
              <w:t>Reporte de Muerte</w:t>
            </w:r>
          </w:p>
        </w:tc>
        <w:tc>
          <w:tcPr>
            <w:tcW w:w="4490" w:type="dxa"/>
          </w:tcPr>
          <w:p w14:paraId="7D834E7D" w14:textId="4DD029C8" w:rsidR="00BD1130" w:rsidRDefault="00501E1C" w:rsidP="00DB53D2">
            <w:pPr>
              <w:jc w:val="both"/>
              <w:rPr>
                <w:rFonts w:ascii="Arial" w:hAnsi="Arial" w:cs="Arial"/>
                <w:b/>
              </w:rPr>
            </w:pPr>
            <w:r>
              <w:rPr>
                <w:rFonts w:ascii="Arial" w:hAnsi="Arial" w:cs="Arial"/>
                <w:b/>
              </w:rPr>
              <w:t>5</w:t>
            </w:r>
            <w:r w:rsidR="00BD1130">
              <w:rPr>
                <w:rFonts w:ascii="Arial" w:hAnsi="Arial" w:cs="Arial"/>
                <w:b/>
              </w:rPr>
              <w:t xml:space="preserve"> días</w:t>
            </w:r>
            <w:r>
              <w:rPr>
                <w:rFonts w:ascii="Arial" w:hAnsi="Arial" w:cs="Arial"/>
                <w:b/>
              </w:rPr>
              <w:t xml:space="preserve"> </w:t>
            </w:r>
            <w:r w:rsidR="00C71110">
              <w:rPr>
                <w:rFonts w:ascii="Arial" w:hAnsi="Arial" w:cs="Arial"/>
                <w:b/>
              </w:rPr>
              <w:t>hábiles</w:t>
            </w:r>
            <w:r w:rsidR="00BD1130">
              <w:rPr>
                <w:rFonts w:ascii="Arial" w:hAnsi="Arial" w:cs="Arial"/>
                <w:b/>
              </w:rPr>
              <w:t xml:space="preserve"> posteriores al conocimiento del evento.</w:t>
            </w:r>
          </w:p>
        </w:tc>
      </w:tr>
      <w:tr w:rsidR="000F64C6" w14:paraId="6EC5F8BA" w14:textId="77777777" w:rsidTr="00EA7389">
        <w:tc>
          <w:tcPr>
            <w:tcW w:w="4490" w:type="dxa"/>
          </w:tcPr>
          <w:p w14:paraId="1E9C9F93" w14:textId="3650384F" w:rsidR="000F64C6" w:rsidRDefault="000F64C6" w:rsidP="00DB53D2">
            <w:pPr>
              <w:jc w:val="both"/>
              <w:rPr>
                <w:rFonts w:ascii="Arial" w:hAnsi="Arial" w:cs="Arial"/>
                <w:b/>
              </w:rPr>
            </w:pPr>
            <w:r>
              <w:rPr>
                <w:rFonts w:ascii="Arial" w:hAnsi="Arial" w:cs="Arial"/>
                <w:b/>
              </w:rPr>
              <w:t>Reporte de violaciones mayores/desviaciones</w:t>
            </w:r>
          </w:p>
        </w:tc>
        <w:tc>
          <w:tcPr>
            <w:tcW w:w="4490" w:type="dxa"/>
          </w:tcPr>
          <w:p w14:paraId="79A29F4B" w14:textId="0C0740E6" w:rsidR="000F64C6" w:rsidRDefault="000F64C6" w:rsidP="00DB53D2">
            <w:pPr>
              <w:jc w:val="both"/>
              <w:rPr>
                <w:rFonts w:ascii="Arial" w:hAnsi="Arial" w:cs="Arial"/>
                <w:b/>
              </w:rPr>
            </w:pPr>
            <w:r>
              <w:rPr>
                <w:rFonts w:ascii="Arial" w:hAnsi="Arial" w:cs="Arial"/>
                <w:b/>
              </w:rPr>
              <w:t>E</w:t>
            </w:r>
            <w:r w:rsidRPr="000F64C6">
              <w:rPr>
                <w:rFonts w:ascii="Arial" w:hAnsi="Arial" w:cs="Arial"/>
                <w:b/>
              </w:rPr>
              <w:t>n un periodo no mayor a los 30 días de que sucedió el evento y en caso de que pusiera en peligro la seguridad de los sujetos de investigación no debe ser mayor a 10 días</w:t>
            </w:r>
            <w:r w:rsidR="00E55227">
              <w:rPr>
                <w:rFonts w:ascii="Arial" w:hAnsi="Arial" w:cs="Arial"/>
                <w:b/>
              </w:rPr>
              <w:t xml:space="preserve"> hábiles.</w:t>
            </w:r>
          </w:p>
        </w:tc>
      </w:tr>
      <w:tr w:rsidR="00BD1130" w14:paraId="6518B447" w14:textId="77777777" w:rsidTr="00EA7389">
        <w:tc>
          <w:tcPr>
            <w:tcW w:w="4490" w:type="dxa"/>
          </w:tcPr>
          <w:p w14:paraId="2128AF29" w14:textId="7FC8FD5A" w:rsidR="00BD1130" w:rsidRDefault="00BD1130" w:rsidP="00DB53D2">
            <w:pPr>
              <w:jc w:val="both"/>
              <w:rPr>
                <w:rFonts w:ascii="Arial" w:hAnsi="Arial" w:cs="Arial"/>
                <w:b/>
              </w:rPr>
            </w:pPr>
            <w:r>
              <w:rPr>
                <w:rFonts w:ascii="Arial" w:hAnsi="Arial" w:cs="Arial"/>
                <w:b/>
              </w:rPr>
              <w:t>Reporte de eventos inesperados</w:t>
            </w:r>
          </w:p>
        </w:tc>
        <w:tc>
          <w:tcPr>
            <w:tcW w:w="4490" w:type="dxa"/>
          </w:tcPr>
          <w:p w14:paraId="30D48C57" w14:textId="075E8543" w:rsidR="00BD1130" w:rsidRDefault="000F64C6" w:rsidP="00DB53D2">
            <w:pPr>
              <w:jc w:val="both"/>
              <w:rPr>
                <w:rFonts w:ascii="Arial" w:hAnsi="Arial" w:cs="Arial"/>
                <w:b/>
              </w:rPr>
            </w:pPr>
            <w:r>
              <w:rPr>
                <w:rFonts w:ascii="Arial" w:hAnsi="Arial" w:cs="Arial"/>
                <w:b/>
              </w:rPr>
              <w:t>E</w:t>
            </w:r>
            <w:r w:rsidRPr="000F64C6">
              <w:rPr>
                <w:rFonts w:ascii="Arial" w:hAnsi="Arial" w:cs="Arial"/>
                <w:b/>
              </w:rPr>
              <w:t xml:space="preserve">n un periodo no mayor a los 30 días </w:t>
            </w:r>
            <w:r w:rsidRPr="000F64C6">
              <w:rPr>
                <w:rFonts w:ascii="Arial" w:hAnsi="Arial" w:cs="Arial"/>
                <w:b/>
              </w:rPr>
              <w:lastRenderedPageBreak/>
              <w:t>de que sucedió el evento y en caso de que pusiera en peligro la seguridad de los sujetos de investigación no debe ser mayor a 10 días</w:t>
            </w:r>
            <w:r w:rsidR="00E55227">
              <w:rPr>
                <w:rFonts w:ascii="Arial" w:hAnsi="Arial" w:cs="Arial"/>
                <w:b/>
              </w:rPr>
              <w:t xml:space="preserve"> hábiles</w:t>
            </w:r>
          </w:p>
        </w:tc>
      </w:tr>
      <w:tr w:rsidR="00BD1130" w14:paraId="629B408D" w14:textId="77777777" w:rsidTr="00EA7389">
        <w:tc>
          <w:tcPr>
            <w:tcW w:w="4490" w:type="dxa"/>
          </w:tcPr>
          <w:p w14:paraId="0F577C82" w14:textId="5FF5298B" w:rsidR="00BD1130" w:rsidRDefault="00BD1130" w:rsidP="00DB53D2">
            <w:pPr>
              <w:jc w:val="both"/>
              <w:rPr>
                <w:rFonts w:ascii="Arial" w:hAnsi="Arial" w:cs="Arial"/>
                <w:b/>
              </w:rPr>
            </w:pPr>
            <w:r>
              <w:rPr>
                <w:rFonts w:ascii="Arial" w:hAnsi="Arial" w:cs="Arial"/>
                <w:b/>
              </w:rPr>
              <w:lastRenderedPageBreak/>
              <w:t>Documentación requerida por el comité</w:t>
            </w:r>
          </w:p>
        </w:tc>
        <w:tc>
          <w:tcPr>
            <w:tcW w:w="4490" w:type="dxa"/>
          </w:tcPr>
          <w:p w14:paraId="2A5038AE" w14:textId="62C5441C" w:rsidR="00BD1130" w:rsidRDefault="00E55227" w:rsidP="00E55227">
            <w:pPr>
              <w:jc w:val="both"/>
              <w:rPr>
                <w:rFonts w:ascii="Arial" w:hAnsi="Arial" w:cs="Arial"/>
                <w:b/>
              </w:rPr>
            </w:pPr>
            <w:r>
              <w:rPr>
                <w:rFonts w:ascii="Arial" w:hAnsi="Arial" w:cs="Arial"/>
                <w:b/>
              </w:rPr>
              <w:t>Dentro de los 30 días hábiles posteriores a la emisión de la carta de observaciones.</w:t>
            </w:r>
            <w:r w:rsidR="00BD1130">
              <w:rPr>
                <w:rFonts w:ascii="Arial" w:hAnsi="Arial" w:cs="Arial"/>
                <w:b/>
              </w:rPr>
              <w:t xml:space="preserve"> </w:t>
            </w:r>
          </w:p>
        </w:tc>
      </w:tr>
      <w:tr w:rsidR="00C71110" w14:paraId="356A6BD3" w14:textId="77777777" w:rsidTr="00EA7389">
        <w:tc>
          <w:tcPr>
            <w:tcW w:w="4490" w:type="dxa"/>
          </w:tcPr>
          <w:p w14:paraId="4F8C1994" w14:textId="4EB7534B" w:rsidR="00C71110" w:rsidRDefault="00C71110" w:rsidP="00DB53D2">
            <w:pPr>
              <w:jc w:val="both"/>
              <w:rPr>
                <w:rFonts w:ascii="Arial" w:hAnsi="Arial" w:cs="Arial"/>
                <w:b/>
              </w:rPr>
            </w:pPr>
            <w:r>
              <w:rPr>
                <w:rFonts w:ascii="Arial" w:hAnsi="Arial" w:cs="Arial"/>
                <w:b/>
              </w:rPr>
              <w:t>Reporte de eventos no serios</w:t>
            </w:r>
          </w:p>
        </w:tc>
        <w:tc>
          <w:tcPr>
            <w:tcW w:w="4490" w:type="dxa"/>
          </w:tcPr>
          <w:p w14:paraId="4CBE23A6" w14:textId="693EA9A8" w:rsidR="00C71110" w:rsidRDefault="00BD7809" w:rsidP="00DB53D2">
            <w:pPr>
              <w:jc w:val="both"/>
              <w:rPr>
                <w:rFonts w:ascii="Arial" w:hAnsi="Arial" w:cs="Arial"/>
                <w:b/>
              </w:rPr>
            </w:pPr>
            <w:r>
              <w:rPr>
                <w:rFonts w:ascii="Arial" w:hAnsi="Arial" w:cs="Arial"/>
                <w:b/>
              </w:rPr>
              <w:t>Dentro del reporte anual.</w:t>
            </w:r>
            <w:r w:rsidR="00E55227">
              <w:rPr>
                <w:rFonts w:ascii="Arial" w:hAnsi="Arial" w:cs="Arial"/>
                <w:b/>
              </w:rPr>
              <w:t xml:space="preserve"> Aunque no es obligatorio. De ser necesario pueden someterse como una carta informativa. </w:t>
            </w:r>
          </w:p>
        </w:tc>
      </w:tr>
      <w:tr w:rsidR="000F64C6" w14:paraId="3BB6636D" w14:textId="77777777" w:rsidTr="00EA7389">
        <w:tc>
          <w:tcPr>
            <w:tcW w:w="4490" w:type="dxa"/>
          </w:tcPr>
          <w:p w14:paraId="76B09CC4" w14:textId="5F1116DA" w:rsidR="000F64C6" w:rsidRDefault="000F64C6" w:rsidP="00DB53D2">
            <w:pPr>
              <w:jc w:val="both"/>
              <w:rPr>
                <w:rFonts w:ascii="Arial" w:hAnsi="Arial" w:cs="Arial"/>
                <w:b/>
              </w:rPr>
            </w:pPr>
            <w:r>
              <w:rPr>
                <w:rFonts w:ascii="Arial" w:hAnsi="Arial" w:cs="Arial"/>
                <w:b/>
              </w:rPr>
              <w:t xml:space="preserve">Reporte de </w:t>
            </w:r>
            <w:proofErr w:type="spellStart"/>
            <w:r>
              <w:rPr>
                <w:rFonts w:ascii="Arial" w:hAnsi="Arial" w:cs="Arial"/>
                <w:b/>
              </w:rPr>
              <w:t>SUSARs</w:t>
            </w:r>
            <w:proofErr w:type="spellEnd"/>
          </w:p>
        </w:tc>
        <w:tc>
          <w:tcPr>
            <w:tcW w:w="4490" w:type="dxa"/>
          </w:tcPr>
          <w:p w14:paraId="707B0D33" w14:textId="48422806" w:rsidR="000F64C6" w:rsidRDefault="000F64C6" w:rsidP="00DB53D2">
            <w:pPr>
              <w:jc w:val="both"/>
              <w:rPr>
                <w:rFonts w:ascii="Arial" w:hAnsi="Arial" w:cs="Arial"/>
                <w:b/>
              </w:rPr>
            </w:pPr>
            <w:r>
              <w:rPr>
                <w:rFonts w:ascii="Arial" w:hAnsi="Arial" w:cs="Arial"/>
                <w:b/>
              </w:rPr>
              <w:t>E</w:t>
            </w:r>
            <w:r w:rsidRPr="000F64C6">
              <w:rPr>
                <w:rFonts w:ascii="Arial" w:hAnsi="Arial" w:cs="Arial"/>
                <w:b/>
              </w:rPr>
              <w:t>n un periodo no mayor a los 30 días de que sucedió el evento y en caso de que pusiera en peligro la seguridad de los sujetos de investigación no debe ser mayor a 10 días</w:t>
            </w:r>
            <w:r w:rsidR="00E55227">
              <w:rPr>
                <w:rFonts w:ascii="Arial" w:hAnsi="Arial" w:cs="Arial"/>
                <w:b/>
              </w:rPr>
              <w:t xml:space="preserve"> hábiles.</w:t>
            </w:r>
          </w:p>
        </w:tc>
      </w:tr>
      <w:tr w:rsidR="000F64C6" w14:paraId="64F63E39" w14:textId="77777777" w:rsidTr="00EA7389">
        <w:tc>
          <w:tcPr>
            <w:tcW w:w="4490" w:type="dxa"/>
          </w:tcPr>
          <w:p w14:paraId="331EF7BE" w14:textId="08BC5EC1" w:rsidR="000F64C6" w:rsidRDefault="000F64C6" w:rsidP="00DB53D2">
            <w:pPr>
              <w:jc w:val="both"/>
              <w:rPr>
                <w:rFonts w:ascii="Arial" w:hAnsi="Arial" w:cs="Arial"/>
                <w:b/>
              </w:rPr>
            </w:pPr>
            <w:r>
              <w:rPr>
                <w:rFonts w:ascii="Arial" w:hAnsi="Arial" w:cs="Arial"/>
                <w:b/>
              </w:rPr>
              <w:t>Reporte de cualquier eventualidad que suceda después de que el estudio haya finalizado que ponga en peligro la salud y seguridad de los sujetos de investigación</w:t>
            </w:r>
          </w:p>
        </w:tc>
        <w:tc>
          <w:tcPr>
            <w:tcW w:w="4490" w:type="dxa"/>
          </w:tcPr>
          <w:p w14:paraId="46131415" w14:textId="7242D372" w:rsidR="000F64C6" w:rsidRDefault="000F64C6" w:rsidP="00DB53D2">
            <w:pPr>
              <w:jc w:val="both"/>
              <w:rPr>
                <w:rFonts w:ascii="Arial" w:hAnsi="Arial" w:cs="Arial"/>
                <w:b/>
              </w:rPr>
            </w:pPr>
            <w:r>
              <w:rPr>
                <w:rFonts w:ascii="Arial" w:hAnsi="Arial" w:cs="Arial"/>
                <w:b/>
              </w:rPr>
              <w:t>E</w:t>
            </w:r>
            <w:r w:rsidRPr="000F64C6">
              <w:rPr>
                <w:rFonts w:ascii="Arial" w:hAnsi="Arial" w:cs="Arial"/>
                <w:b/>
              </w:rPr>
              <w:t>n un periodo no mayor a los 30 días de que sucedió el evento y en caso de que pusiera en peligro la seguridad de los sujetos de investigación no debe ser mayor a 10 días</w:t>
            </w:r>
            <w:r w:rsidR="00E55227">
              <w:rPr>
                <w:rFonts w:ascii="Arial" w:hAnsi="Arial" w:cs="Arial"/>
                <w:b/>
              </w:rPr>
              <w:t xml:space="preserve"> hábiles. Esto se debe reportar hasta por 2 años posteriores a la finalización del estudio.</w:t>
            </w:r>
            <w:bookmarkStart w:id="0" w:name="_GoBack"/>
            <w:bookmarkEnd w:id="0"/>
          </w:p>
        </w:tc>
      </w:tr>
    </w:tbl>
    <w:p w14:paraId="0AEFA28C" w14:textId="77777777" w:rsidR="00EA7389" w:rsidRPr="00EA7389" w:rsidRDefault="00EA7389" w:rsidP="00DB53D2">
      <w:pPr>
        <w:jc w:val="both"/>
        <w:rPr>
          <w:rFonts w:ascii="Arial" w:hAnsi="Arial" w:cs="Arial"/>
          <w:b/>
        </w:rPr>
      </w:pPr>
    </w:p>
    <w:p w14:paraId="49D05D74" w14:textId="77777777" w:rsidR="00E67A9D" w:rsidRDefault="00E67A9D" w:rsidP="00DB53D2">
      <w:pPr>
        <w:jc w:val="both"/>
        <w:rPr>
          <w:rFonts w:ascii="Arial" w:hAnsi="Arial" w:cs="Arial"/>
          <w:b/>
        </w:rPr>
      </w:pPr>
    </w:p>
    <w:p w14:paraId="4E59419C" w14:textId="77777777" w:rsidR="00501E1C" w:rsidRDefault="00BD1130" w:rsidP="009835F0">
      <w:pPr>
        <w:jc w:val="both"/>
        <w:rPr>
          <w:rFonts w:ascii="Arial" w:hAnsi="Arial" w:cs="Arial"/>
          <w:b/>
        </w:rPr>
      </w:pPr>
      <w:r>
        <w:rPr>
          <w:rFonts w:ascii="Arial" w:hAnsi="Arial" w:cs="Arial"/>
          <w:b/>
        </w:rPr>
        <w:t xml:space="preserve">1.9. </w:t>
      </w:r>
      <w:r w:rsidR="00501E1C">
        <w:rPr>
          <w:rFonts w:ascii="Arial" w:hAnsi="Arial" w:cs="Arial"/>
          <w:b/>
        </w:rPr>
        <w:t>Acciones</w:t>
      </w:r>
      <w:r>
        <w:rPr>
          <w:rFonts w:ascii="Arial" w:hAnsi="Arial" w:cs="Arial"/>
          <w:b/>
        </w:rPr>
        <w:t xml:space="preserve"> del Comité</w:t>
      </w:r>
      <w:r w:rsidR="00501E1C">
        <w:rPr>
          <w:rFonts w:ascii="Arial" w:hAnsi="Arial" w:cs="Arial"/>
          <w:b/>
        </w:rPr>
        <w:t xml:space="preserve"> a dichos reportes</w:t>
      </w:r>
    </w:p>
    <w:p w14:paraId="45134D0D" w14:textId="77777777" w:rsidR="00501E1C" w:rsidRPr="009835F0" w:rsidRDefault="00501E1C" w:rsidP="009835F0">
      <w:pPr>
        <w:pStyle w:val="Prrafodelista"/>
        <w:numPr>
          <w:ilvl w:val="0"/>
          <w:numId w:val="8"/>
        </w:numPr>
        <w:jc w:val="both"/>
        <w:rPr>
          <w:rFonts w:ascii="Arial" w:hAnsi="Arial" w:cs="Arial"/>
          <w:b/>
        </w:rPr>
      </w:pPr>
      <w:r w:rsidRPr="009835F0">
        <w:rPr>
          <w:rFonts w:ascii="Arial" w:eastAsiaTheme="minorHAnsi" w:hAnsi="Arial" w:cs="Arial"/>
          <w:sz w:val="22"/>
          <w:szCs w:val="32"/>
          <w:lang w:eastAsia="en-US"/>
        </w:rPr>
        <w:t xml:space="preserve">Modificación del protocolo. </w:t>
      </w:r>
    </w:p>
    <w:p w14:paraId="24EF9FA5" w14:textId="77777777" w:rsidR="00501E1C" w:rsidRPr="009835F0" w:rsidRDefault="00501E1C" w:rsidP="009835F0">
      <w:pPr>
        <w:pStyle w:val="Prrafodelista"/>
        <w:numPr>
          <w:ilvl w:val="0"/>
          <w:numId w:val="8"/>
        </w:numPr>
        <w:jc w:val="both"/>
        <w:rPr>
          <w:rFonts w:ascii="Arial" w:hAnsi="Arial" w:cs="Arial"/>
          <w:b/>
        </w:rPr>
      </w:pPr>
      <w:r w:rsidRPr="009835F0">
        <w:rPr>
          <w:rFonts w:ascii="Arial" w:eastAsiaTheme="minorHAnsi" w:hAnsi="Arial" w:cs="Arial"/>
          <w:sz w:val="22"/>
          <w:szCs w:val="32"/>
          <w:lang w:eastAsia="en-US"/>
        </w:rPr>
        <w:t>Modificación de la información divulgada durante el proceso de consentimiento.</w:t>
      </w:r>
    </w:p>
    <w:p w14:paraId="7D5EF5B6" w14:textId="77777777" w:rsidR="00501E1C" w:rsidRPr="009835F0" w:rsidRDefault="00501E1C" w:rsidP="009835F0">
      <w:pPr>
        <w:pStyle w:val="Prrafodelista"/>
        <w:numPr>
          <w:ilvl w:val="0"/>
          <w:numId w:val="8"/>
        </w:numPr>
        <w:jc w:val="both"/>
        <w:rPr>
          <w:rFonts w:ascii="Arial" w:hAnsi="Arial" w:cs="Arial"/>
          <w:b/>
        </w:rPr>
      </w:pPr>
      <w:r w:rsidRPr="009835F0">
        <w:rPr>
          <w:rFonts w:ascii="Arial" w:eastAsiaTheme="minorHAnsi" w:hAnsi="Arial" w:cs="Arial"/>
          <w:sz w:val="22"/>
          <w:szCs w:val="32"/>
          <w:lang w:eastAsia="en-US"/>
        </w:rPr>
        <w:t>Proporcionar información adicional a</w:t>
      </w:r>
      <w:r w:rsidRPr="00501E1C">
        <w:rPr>
          <w:rFonts w:ascii="Arial" w:eastAsiaTheme="minorHAnsi" w:hAnsi="Arial" w:cs="Arial"/>
          <w:sz w:val="22"/>
          <w:szCs w:val="32"/>
          <w:lang w:eastAsia="en-US"/>
        </w:rPr>
        <w:t xml:space="preserve"> </w:t>
      </w:r>
      <w:r w:rsidRPr="009835F0">
        <w:rPr>
          <w:rFonts w:ascii="Arial" w:eastAsiaTheme="minorHAnsi" w:hAnsi="Arial" w:cs="Arial"/>
          <w:sz w:val="22"/>
          <w:szCs w:val="32"/>
          <w:lang w:eastAsia="en-US"/>
        </w:rPr>
        <w:t>los participantes</w:t>
      </w:r>
      <w:r>
        <w:rPr>
          <w:rFonts w:ascii="Arial" w:eastAsiaTheme="minorHAnsi" w:hAnsi="Arial" w:cs="Arial"/>
          <w:sz w:val="22"/>
          <w:szCs w:val="32"/>
          <w:lang w:eastAsia="en-US"/>
        </w:rPr>
        <w:t xml:space="preserve"> ya tratados</w:t>
      </w:r>
      <w:r w:rsidRPr="009835F0">
        <w:rPr>
          <w:rFonts w:ascii="Arial" w:eastAsiaTheme="minorHAnsi" w:hAnsi="Arial" w:cs="Arial"/>
          <w:sz w:val="22"/>
          <w:szCs w:val="32"/>
          <w:lang w:eastAsia="en-US"/>
        </w:rPr>
        <w:t xml:space="preserve">. </w:t>
      </w:r>
      <w:r>
        <w:rPr>
          <w:rFonts w:ascii="Arial" w:eastAsiaTheme="minorHAnsi" w:hAnsi="Arial" w:cs="Arial"/>
          <w:sz w:val="22"/>
          <w:szCs w:val="32"/>
          <w:lang w:eastAsia="en-US"/>
        </w:rPr>
        <w:t xml:space="preserve"> </w:t>
      </w:r>
    </w:p>
    <w:p w14:paraId="5E253D35" w14:textId="77777777" w:rsidR="00501E1C" w:rsidRPr="009835F0" w:rsidRDefault="00501E1C" w:rsidP="009835F0">
      <w:pPr>
        <w:pStyle w:val="Prrafodelista"/>
        <w:numPr>
          <w:ilvl w:val="0"/>
          <w:numId w:val="8"/>
        </w:numPr>
        <w:jc w:val="both"/>
        <w:rPr>
          <w:rFonts w:ascii="Arial" w:hAnsi="Arial" w:cs="Arial"/>
          <w:b/>
        </w:rPr>
      </w:pPr>
      <w:r w:rsidRPr="009835F0">
        <w:rPr>
          <w:rFonts w:ascii="Arial" w:eastAsiaTheme="minorHAnsi" w:hAnsi="Arial" w:cs="Arial"/>
          <w:sz w:val="22"/>
          <w:szCs w:val="32"/>
          <w:lang w:eastAsia="en-US"/>
        </w:rPr>
        <w:t xml:space="preserve">Que requieren los participantes actuales para volver a su consentimiento a la participación. </w:t>
      </w:r>
    </w:p>
    <w:p w14:paraId="706E041A" w14:textId="77777777" w:rsidR="00501E1C" w:rsidRPr="009835F0" w:rsidRDefault="00501E1C" w:rsidP="009835F0">
      <w:pPr>
        <w:pStyle w:val="Prrafodelista"/>
        <w:numPr>
          <w:ilvl w:val="0"/>
          <w:numId w:val="8"/>
        </w:numPr>
        <w:jc w:val="both"/>
        <w:rPr>
          <w:rFonts w:ascii="Arial" w:hAnsi="Arial" w:cs="Arial"/>
          <w:b/>
        </w:rPr>
      </w:pPr>
      <w:r w:rsidRPr="009835F0">
        <w:rPr>
          <w:rFonts w:ascii="Arial" w:eastAsiaTheme="minorHAnsi" w:hAnsi="Arial" w:cs="Arial"/>
          <w:sz w:val="22"/>
          <w:szCs w:val="32"/>
          <w:lang w:eastAsia="en-US"/>
        </w:rPr>
        <w:t xml:space="preserve">Modificación de la revisión continua horario. </w:t>
      </w:r>
    </w:p>
    <w:p w14:paraId="64FD91E9" w14:textId="77777777" w:rsidR="00501E1C" w:rsidRPr="009835F0" w:rsidRDefault="00501E1C" w:rsidP="009835F0">
      <w:pPr>
        <w:pStyle w:val="Prrafodelista"/>
        <w:numPr>
          <w:ilvl w:val="0"/>
          <w:numId w:val="8"/>
        </w:numPr>
        <w:jc w:val="both"/>
        <w:rPr>
          <w:rFonts w:ascii="Arial" w:hAnsi="Arial" w:cs="Arial"/>
          <w:b/>
        </w:rPr>
      </w:pPr>
      <w:r w:rsidRPr="009835F0">
        <w:rPr>
          <w:rFonts w:ascii="Arial" w:eastAsiaTheme="minorHAnsi" w:hAnsi="Arial" w:cs="Arial"/>
          <w:sz w:val="22"/>
          <w:szCs w:val="32"/>
          <w:lang w:eastAsia="en-US"/>
        </w:rPr>
        <w:t xml:space="preserve">Seguimiento de la investigación. </w:t>
      </w:r>
    </w:p>
    <w:p w14:paraId="7A923CE4" w14:textId="77777777" w:rsidR="00501E1C" w:rsidRPr="009835F0" w:rsidRDefault="00501E1C" w:rsidP="009835F0">
      <w:pPr>
        <w:pStyle w:val="Prrafodelista"/>
        <w:numPr>
          <w:ilvl w:val="0"/>
          <w:numId w:val="8"/>
        </w:numPr>
        <w:jc w:val="both"/>
        <w:rPr>
          <w:rFonts w:ascii="Arial" w:hAnsi="Arial" w:cs="Arial"/>
          <w:b/>
        </w:rPr>
      </w:pPr>
      <w:r w:rsidRPr="009835F0">
        <w:rPr>
          <w:rFonts w:ascii="Arial" w:eastAsiaTheme="minorHAnsi" w:hAnsi="Arial" w:cs="Arial"/>
          <w:sz w:val="22"/>
          <w:szCs w:val="32"/>
          <w:lang w:eastAsia="en-US"/>
        </w:rPr>
        <w:t xml:space="preserve">Seguimiento del proceso de consentimiento. </w:t>
      </w:r>
    </w:p>
    <w:p w14:paraId="63DCB38D" w14:textId="5736E665" w:rsidR="00501E1C" w:rsidRPr="00501E1C" w:rsidRDefault="00501E1C" w:rsidP="009835F0">
      <w:pPr>
        <w:pStyle w:val="Prrafodelista"/>
        <w:numPr>
          <w:ilvl w:val="0"/>
          <w:numId w:val="8"/>
        </w:numPr>
        <w:jc w:val="both"/>
        <w:rPr>
          <w:rFonts w:ascii="Arial" w:hAnsi="Arial" w:cs="Arial"/>
          <w:b/>
        </w:rPr>
      </w:pPr>
      <w:r w:rsidRPr="009835F0">
        <w:rPr>
          <w:rFonts w:ascii="Arial" w:eastAsiaTheme="minorHAnsi" w:hAnsi="Arial" w:cs="Arial"/>
          <w:sz w:val="22"/>
          <w:szCs w:val="32"/>
          <w:lang w:eastAsia="en-US"/>
        </w:rPr>
        <w:t>Referencia a otras entidades de la organización.</w:t>
      </w:r>
    </w:p>
    <w:p w14:paraId="423817C1" w14:textId="11935C88" w:rsidR="00BD1130" w:rsidRDefault="00BD1130" w:rsidP="00BD1130">
      <w:pPr>
        <w:jc w:val="both"/>
        <w:rPr>
          <w:rFonts w:ascii="Arial" w:hAnsi="Arial" w:cs="Arial"/>
          <w:b/>
        </w:rPr>
      </w:pPr>
    </w:p>
    <w:p w14:paraId="27B6A336" w14:textId="77777777" w:rsidR="00BD1130" w:rsidRPr="009C2EF0" w:rsidRDefault="00BD1130" w:rsidP="00DB53D2">
      <w:pPr>
        <w:jc w:val="both"/>
        <w:rPr>
          <w:rFonts w:ascii="Arial" w:hAnsi="Arial" w:cs="Arial"/>
          <w:b/>
        </w:rPr>
      </w:pPr>
    </w:p>
    <w:p w14:paraId="599DFE03" w14:textId="77777777" w:rsidR="00803517" w:rsidRPr="009C2EF0" w:rsidRDefault="00803517" w:rsidP="00DB53D2">
      <w:pPr>
        <w:jc w:val="both"/>
        <w:rPr>
          <w:rFonts w:ascii="Arial" w:hAnsi="Arial" w:cs="Arial"/>
          <w:b/>
        </w:rPr>
      </w:pPr>
      <w:r w:rsidRPr="009C2EF0">
        <w:rPr>
          <w:rFonts w:ascii="Arial" w:hAnsi="Arial" w:cs="Arial"/>
          <w:b/>
        </w:rPr>
        <w:lastRenderedPageBreak/>
        <w:t>IV. RESPONSABILIDADES</w:t>
      </w:r>
    </w:p>
    <w:p w14:paraId="1D268EE3" w14:textId="77777777" w:rsidR="001B213D" w:rsidRPr="009C2EF0" w:rsidRDefault="001B213D" w:rsidP="00DB53D2">
      <w:pPr>
        <w:jc w:val="both"/>
        <w:rPr>
          <w:rFonts w:ascii="Arial" w:hAnsi="Arial" w:cs="Arial"/>
          <w:b/>
        </w:rPr>
      </w:pPr>
    </w:p>
    <w:p w14:paraId="6B444D1D" w14:textId="77777777" w:rsidR="009C2EF0" w:rsidRPr="009C2EF0" w:rsidRDefault="009C2EF0" w:rsidP="009C2EF0">
      <w:pPr>
        <w:pStyle w:val="level1bodystyle"/>
        <w:jc w:val="both"/>
        <w:rPr>
          <w:szCs w:val="24"/>
          <w:lang w:val="es-ES"/>
        </w:rPr>
      </w:pPr>
      <w:r w:rsidRPr="009C2EF0">
        <w:rPr>
          <w:snapToGrid w:val="0"/>
          <w:szCs w:val="24"/>
          <w:lang w:val="es-ES"/>
        </w:rPr>
        <w:t>El Presidente del Comité  es responsable de establecer los procesos para conducir las revisiones en curso de cada investigación.</w:t>
      </w:r>
    </w:p>
    <w:p w14:paraId="364F49A5" w14:textId="77777777" w:rsidR="001C0FC1" w:rsidRDefault="009C2EF0" w:rsidP="009C2EF0">
      <w:pPr>
        <w:pStyle w:val="level1bodystyle"/>
        <w:jc w:val="both"/>
        <w:rPr>
          <w:snapToGrid w:val="0"/>
          <w:szCs w:val="24"/>
          <w:lang w:val="es-ES"/>
        </w:rPr>
      </w:pPr>
      <w:r w:rsidRPr="009C2EF0">
        <w:rPr>
          <w:snapToGrid w:val="0"/>
          <w:szCs w:val="24"/>
          <w:lang w:val="es-ES"/>
        </w:rPr>
        <w:t>El Presidente del Comité  es responsable de las evaluaciones preliminares de los eventos  adversos  y de la necesidad de la verificación por una tercera persona.</w:t>
      </w:r>
    </w:p>
    <w:p w14:paraId="0A396BAA" w14:textId="3061EB23" w:rsidR="0033655E" w:rsidRDefault="0033655E" w:rsidP="009C2EF0">
      <w:pPr>
        <w:pStyle w:val="level1bodystyle"/>
        <w:jc w:val="both"/>
        <w:rPr>
          <w:snapToGrid w:val="0"/>
          <w:szCs w:val="24"/>
          <w:lang w:val="es-ES"/>
        </w:rPr>
      </w:pPr>
      <w:r>
        <w:rPr>
          <w:snapToGrid w:val="0"/>
          <w:szCs w:val="24"/>
          <w:lang w:val="es-ES"/>
        </w:rPr>
        <w:t xml:space="preserve">El Presidente del Comité es responsable </w:t>
      </w:r>
      <w:r>
        <w:rPr>
          <w:szCs w:val="24"/>
          <w:lang w:val="es-ES"/>
        </w:rPr>
        <w:t>de reportar cualquier evento inesperado que ponga en peligro a los participantes o a otros al Subdirector de Investigación o cualquier otra agencia reguladora si es necesario, en un periodo no mayor a 30 días.</w:t>
      </w:r>
    </w:p>
    <w:p w14:paraId="1AC91F60" w14:textId="0630A3F3" w:rsidR="00921F71" w:rsidRPr="009C2EF0" w:rsidRDefault="00921F71" w:rsidP="009C2EF0">
      <w:pPr>
        <w:pStyle w:val="level1bodystyle"/>
        <w:jc w:val="both"/>
        <w:rPr>
          <w:szCs w:val="24"/>
          <w:lang w:val="es-ES"/>
        </w:rPr>
      </w:pPr>
      <w:r>
        <w:rPr>
          <w:snapToGrid w:val="0"/>
          <w:szCs w:val="24"/>
          <w:lang w:val="es-ES"/>
        </w:rPr>
        <w:t xml:space="preserve">Investigador principal es el responsable de someter reportes anuales dentro del periodo de tiempo establecido, </w:t>
      </w:r>
      <w:r w:rsidR="00BD1130">
        <w:rPr>
          <w:snapToGrid w:val="0"/>
          <w:szCs w:val="24"/>
          <w:lang w:val="es-ES"/>
        </w:rPr>
        <w:t>así</w:t>
      </w:r>
      <w:r>
        <w:rPr>
          <w:snapToGrid w:val="0"/>
          <w:szCs w:val="24"/>
          <w:lang w:val="es-ES"/>
        </w:rPr>
        <w:t xml:space="preserve"> como de reporte de eventos adversos, reportes de seguridad, eventos no anticipados, enmiendas al estudio así como de consentimiento y de cualquier otra documentación solicitada por el Comité. </w:t>
      </w:r>
    </w:p>
    <w:p w14:paraId="30C576F3" w14:textId="77777777" w:rsidR="009159FF" w:rsidRPr="009C2EF0" w:rsidRDefault="009159FF" w:rsidP="001C0FC1">
      <w:pPr>
        <w:pStyle w:val="level1bodystyle"/>
        <w:ind w:left="0"/>
        <w:jc w:val="both"/>
        <w:rPr>
          <w:szCs w:val="24"/>
          <w:lang w:val="es-ES"/>
        </w:rPr>
      </w:pPr>
    </w:p>
    <w:p w14:paraId="22711049" w14:textId="77777777" w:rsidR="008A1BE2" w:rsidRPr="009C2EF0" w:rsidRDefault="008A1BE2" w:rsidP="00DB53D2">
      <w:pPr>
        <w:jc w:val="both"/>
        <w:rPr>
          <w:rFonts w:ascii="Arial" w:hAnsi="Arial" w:cs="Arial"/>
          <w:b/>
        </w:rPr>
      </w:pPr>
    </w:p>
    <w:p w14:paraId="668A8959" w14:textId="77777777" w:rsidR="001B213D" w:rsidRPr="009C2EF0" w:rsidRDefault="001B213D" w:rsidP="00DB53D2">
      <w:pPr>
        <w:jc w:val="both"/>
        <w:rPr>
          <w:rFonts w:ascii="Arial" w:hAnsi="Arial" w:cs="Arial"/>
          <w:b/>
        </w:rPr>
      </w:pPr>
      <w:r w:rsidRPr="009C2EF0">
        <w:rPr>
          <w:rFonts w:ascii="Arial" w:hAnsi="Arial" w:cs="Arial"/>
          <w:b/>
        </w:rPr>
        <w:t>V. ALCANCE</w:t>
      </w:r>
    </w:p>
    <w:p w14:paraId="6BC40A73" w14:textId="77777777" w:rsidR="00CC79A3" w:rsidRPr="009C2EF0" w:rsidRDefault="00CC79A3" w:rsidP="00DB53D2">
      <w:pPr>
        <w:jc w:val="both"/>
        <w:rPr>
          <w:rFonts w:ascii="Arial" w:hAnsi="Arial" w:cs="Arial"/>
          <w:b/>
        </w:rPr>
      </w:pPr>
    </w:p>
    <w:p w14:paraId="5AD1C5ED" w14:textId="77777777" w:rsidR="009C2EF0" w:rsidRPr="009C2EF0" w:rsidRDefault="009C2EF0" w:rsidP="009C2EF0">
      <w:pPr>
        <w:pStyle w:val="level1bodystyle"/>
        <w:jc w:val="both"/>
        <w:rPr>
          <w:szCs w:val="24"/>
          <w:lang w:val="es-ES"/>
        </w:rPr>
      </w:pPr>
      <w:r w:rsidRPr="009C2EF0">
        <w:rPr>
          <w:szCs w:val="24"/>
          <w:lang w:val="es-ES"/>
        </w:rPr>
        <w:t>Estas políticas y procedimientos se aplican a toda la investigación sometida al Comité.</w:t>
      </w:r>
    </w:p>
    <w:p w14:paraId="3CA30185" w14:textId="77777777" w:rsidR="008A07E7" w:rsidRPr="009C2EF0" w:rsidRDefault="008A07E7" w:rsidP="00DB53D2">
      <w:pPr>
        <w:jc w:val="both"/>
        <w:rPr>
          <w:rFonts w:ascii="Arial" w:hAnsi="Arial" w:cs="Arial"/>
          <w:b/>
        </w:rPr>
      </w:pPr>
    </w:p>
    <w:p w14:paraId="547E1EC9" w14:textId="77777777" w:rsidR="008A07E7" w:rsidRPr="009C2EF0" w:rsidRDefault="008A07E7" w:rsidP="00DB53D2">
      <w:pPr>
        <w:jc w:val="both"/>
        <w:rPr>
          <w:rFonts w:ascii="Arial" w:hAnsi="Arial" w:cs="Arial"/>
          <w:b/>
        </w:rPr>
      </w:pPr>
    </w:p>
    <w:p w14:paraId="056FEC33" w14:textId="77777777" w:rsidR="00803517" w:rsidRPr="009C2EF0" w:rsidRDefault="00803517" w:rsidP="00DB53D2">
      <w:pPr>
        <w:jc w:val="both"/>
        <w:rPr>
          <w:rFonts w:ascii="Arial" w:hAnsi="Arial" w:cs="Arial"/>
          <w:b/>
        </w:rPr>
      </w:pPr>
      <w:r w:rsidRPr="009C2EF0">
        <w:rPr>
          <w:rFonts w:ascii="Arial" w:hAnsi="Arial" w:cs="Arial"/>
          <w:b/>
        </w:rPr>
        <w:t>V. PROCEDIMIENTO</w:t>
      </w:r>
    </w:p>
    <w:p w14:paraId="31C51893" w14:textId="77777777" w:rsidR="007A41ED" w:rsidRPr="009C2EF0" w:rsidRDefault="007A41ED" w:rsidP="00B50A97">
      <w:pPr>
        <w:autoSpaceDE w:val="0"/>
        <w:autoSpaceDN w:val="0"/>
        <w:adjustRightInd w:val="0"/>
        <w:jc w:val="both"/>
        <w:rPr>
          <w:rFonts w:ascii="Arial" w:hAnsi="Arial" w:cs="Arial"/>
          <w:lang w:val="es-MX"/>
        </w:rPr>
      </w:pPr>
    </w:p>
    <w:p w14:paraId="3A3F1BC4" w14:textId="4CB5EDC8" w:rsidR="009C2EF0" w:rsidRPr="009835F0" w:rsidRDefault="009C2EF0" w:rsidP="009835F0">
      <w:pPr>
        <w:pStyle w:val="level2bodystyle"/>
        <w:ind w:left="576"/>
        <w:jc w:val="both"/>
        <w:rPr>
          <w:sz w:val="24"/>
          <w:szCs w:val="24"/>
          <w:lang w:val="es-ES"/>
        </w:rPr>
      </w:pPr>
      <w:r w:rsidRPr="009C2EF0">
        <w:rPr>
          <w:sz w:val="24"/>
          <w:szCs w:val="24"/>
          <w:lang w:val="es-ES"/>
        </w:rPr>
        <w:t>Describe los requisitos para la revisión continua que ocurre después de la aprobación inicial de la investigación y antes de la revisión para renovación de la aprobación por el  Comité de Ética, Investigación y Bioseguridad.</w:t>
      </w:r>
    </w:p>
    <w:p w14:paraId="2218FB02" w14:textId="77777777" w:rsidR="009C2EF0" w:rsidRPr="009C2EF0" w:rsidRDefault="009C2EF0" w:rsidP="009C2EF0">
      <w:pPr>
        <w:pStyle w:val="Ttulo2"/>
        <w:ind w:left="288"/>
        <w:jc w:val="both"/>
        <w:rPr>
          <w:rFonts w:ascii="Arial" w:hAnsi="Arial" w:cs="Arial"/>
          <w:color w:val="auto"/>
          <w:sz w:val="24"/>
          <w:szCs w:val="24"/>
        </w:rPr>
      </w:pPr>
      <w:r w:rsidRPr="009C2EF0">
        <w:rPr>
          <w:rFonts w:ascii="Arial" w:hAnsi="Arial" w:cs="Arial"/>
          <w:color w:val="auto"/>
          <w:sz w:val="24"/>
          <w:szCs w:val="24"/>
        </w:rPr>
        <w:t>A. Visitas de sitio y verificación de tercera persona</w:t>
      </w:r>
    </w:p>
    <w:tbl>
      <w:tblPr>
        <w:tblW w:w="8505" w:type="dxa"/>
        <w:tblInd w:w="108" w:type="dxa"/>
        <w:tblLayout w:type="fixed"/>
        <w:tblLook w:val="0000" w:firstRow="0" w:lastRow="0" w:firstColumn="0" w:lastColumn="0" w:noHBand="0" w:noVBand="0"/>
      </w:tblPr>
      <w:tblGrid>
        <w:gridCol w:w="2250"/>
        <w:gridCol w:w="3704"/>
        <w:gridCol w:w="2551"/>
      </w:tblGrid>
      <w:tr w:rsidR="009C2EF0" w:rsidRPr="009C2EF0" w14:paraId="168DEA7A" w14:textId="77777777" w:rsidTr="00F31F06">
        <w:tc>
          <w:tcPr>
            <w:tcW w:w="2250" w:type="dxa"/>
            <w:tcBorders>
              <w:top w:val="single" w:sz="6" w:space="0" w:color="FFFFFF"/>
              <w:left w:val="single" w:sz="36" w:space="0" w:color="FFFFFF"/>
              <w:bottom w:val="single" w:sz="36" w:space="0" w:color="FFFFFF"/>
              <w:right w:val="single" w:sz="6" w:space="0" w:color="FFFFFF"/>
            </w:tcBorders>
            <w:shd w:val="pct10" w:color="000000" w:fill="FFFFFF"/>
          </w:tcPr>
          <w:p w14:paraId="3362362C" w14:textId="77777777" w:rsidR="009C2EF0" w:rsidRPr="009C2EF0" w:rsidRDefault="009C2EF0" w:rsidP="00F31F06">
            <w:pPr>
              <w:pStyle w:val="procedurestablestyle"/>
              <w:jc w:val="both"/>
              <w:rPr>
                <w:szCs w:val="24"/>
                <w:lang w:val="es-ES"/>
              </w:rPr>
            </w:pPr>
            <w:r w:rsidRPr="009C2EF0">
              <w:rPr>
                <w:b/>
                <w:szCs w:val="24"/>
                <w:lang w:val="es-ES"/>
              </w:rPr>
              <w:t>Quién</w:t>
            </w:r>
            <w:r w:rsidRPr="009C2EF0">
              <w:rPr>
                <w:szCs w:val="24"/>
                <w:lang w:val="es-ES"/>
              </w:rPr>
              <w:t xml:space="preserve"> </w:t>
            </w:r>
          </w:p>
        </w:tc>
        <w:tc>
          <w:tcPr>
            <w:tcW w:w="3704" w:type="dxa"/>
            <w:tcBorders>
              <w:top w:val="single" w:sz="6" w:space="0" w:color="FFFFFF"/>
              <w:left w:val="single" w:sz="6" w:space="0" w:color="FFFFFF"/>
              <w:bottom w:val="single" w:sz="36" w:space="0" w:color="FFFFFF"/>
              <w:right w:val="single" w:sz="6" w:space="0" w:color="FFFFFF"/>
            </w:tcBorders>
            <w:shd w:val="pct10" w:color="000000" w:fill="FFFFFF"/>
          </w:tcPr>
          <w:p w14:paraId="59C50389" w14:textId="77777777" w:rsidR="009C2EF0" w:rsidRPr="009C2EF0" w:rsidRDefault="009C2EF0" w:rsidP="00F31F06">
            <w:pPr>
              <w:pStyle w:val="procedurestablestyle"/>
              <w:jc w:val="both"/>
              <w:rPr>
                <w:szCs w:val="24"/>
                <w:lang w:val="es-ES"/>
              </w:rPr>
            </w:pPr>
            <w:r w:rsidRPr="009C2EF0">
              <w:rPr>
                <w:b/>
                <w:szCs w:val="24"/>
                <w:lang w:val="es-ES"/>
              </w:rPr>
              <w:t>Tarea</w:t>
            </w:r>
          </w:p>
        </w:tc>
        <w:tc>
          <w:tcPr>
            <w:tcW w:w="2551" w:type="dxa"/>
            <w:tcBorders>
              <w:top w:val="single" w:sz="6" w:space="0" w:color="FFFFFF"/>
              <w:left w:val="single" w:sz="6" w:space="0" w:color="FFFFFF"/>
              <w:bottom w:val="single" w:sz="36" w:space="0" w:color="FFFFFF"/>
              <w:right w:val="single" w:sz="36" w:space="0" w:color="FFFFFF"/>
            </w:tcBorders>
            <w:shd w:val="pct10" w:color="000000" w:fill="FFFFFF"/>
          </w:tcPr>
          <w:p w14:paraId="76257888" w14:textId="77777777" w:rsidR="009C2EF0" w:rsidRPr="009C2EF0" w:rsidRDefault="009C2EF0" w:rsidP="00F31F06">
            <w:pPr>
              <w:pStyle w:val="procedurestablestyle"/>
              <w:jc w:val="both"/>
              <w:rPr>
                <w:szCs w:val="24"/>
                <w:lang w:val="es-ES"/>
              </w:rPr>
            </w:pPr>
            <w:r w:rsidRPr="009C2EF0">
              <w:rPr>
                <w:b/>
                <w:szCs w:val="24"/>
                <w:lang w:val="es-ES"/>
              </w:rPr>
              <w:t>Herramienta</w:t>
            </w:r>
          </w:p>
        </w:tc>
      </w:tr>
      <w:tr w:rsidR="009C2EF0" w:rsidRPr="009C2EF0" w14:paraId="6291CC2F" w14:textId="77777777" w:rsidTr="00F31F06">
        <w:tc>
          <w:tcPr>
            <w:tcW w:w="2250" w:type="dxa"/>
            <w:tcBorders>
              <w:top w:val="single" w:sz="36" w:space="0" w:color="FFFFFF"/>
              <w:left w:val="single" w:sz="36" w:space="0" w:color="FFFFFF"/>
              <w:bottom w:val="single" w:sz="6" w:space="0" w:color="FFFFFF"/>
              <w:right w:val="single" w:sz="6" w:space="0" w:color="FFFFFF"/>
            </w:tcBorders>
            <w:shd w:val="pct5" w:color="000000" w:fill="FFFFFF"/>
          </w:tcPr>
          <w:p w14:paraId="5D69018A" w14:textId="77777777" w:rsidR="009C2EF0" w:rsidRPr="009C2EF0" w:rsidRDefault="009C2EF0" w:rsidP="00F31F06">
            <w:pPr>
              <w:pStyle w:val="procedurestablestyle"/>
              <w:jc w:val="both"/>
              <w:rPr>
                <w:szCs w:val="24"/>
                <w:lang w:val="es-ES"/>
              </w:rPr>
            </w:pPr>
            <w:r w:rsidRPr="009C2EF0">
              <w:rPr>
                <w:i/>
                <w:szCs w:val="24"/>
                <w:lang w:val="es-ES"/>
              </w:rPr>
              <w:t>Secretaria</w:t>
            </w:r>
          </w:p>
        </w:tc>
        <w:tc>
          <w:tcPr>
            <w:tcW w:w="3704" w:type="dxa"/>
            <w:tcBorders>
              <w:top w:val="single" w:sz="36" w:space="0" w:color="FFFFFF"/>
              <w:left w:val="single" w:sz="6" w:space="0" w:color="FFFFFF"/>
              <w:bottom w:val="single" w:sz="6" w:space="0" w:color="FFFFFF"/>
              <w:right w:val="single" w:sz="6" w:space="0" w:color="FFFFFF"/>
            </w:tcBorders>
            <w:shd w:val="pct5" w:color="000000" w:fill="FFFFFF"/>
          </w:tcPr>
          <w:p w14:paraId="206D0651" w14:textId="77777777" w:rsidR="009C2EF0" w:rsidRPr="009C2EF0" w:rsidRDefault="009C2EF0" w:rsidP="00F31F06">
            <w:pPr>
              <w:pStyle w:val="procedurestablestyle"/>
              <w:jc w:val="both"/>
              <w:rPr>
                <w:szCs w:val="24"/>
                <w:lang w:val="es-ES"/>
              </w:rPr>
            </w:pPr>
            <w:r w:rsidRPr="009C2EF0">
              <w:rPr>
                <w:szCs w:val="24"/>
                <w:lang w:val="es-ES"/>
              </w:rPr>
              <w:t>Llama al investigador o entra en contacto con el  personal clave del sitio de investigación  para establecer un día y una hora para conducir una visita del sitio.</w:t>
            </w:r>
          </w:p>
          <w:p w14:paraId="11981C95" w14:textId="77777777" w:rsidR="009C2EF0" w:rsidRPr="009C2EF0" w:rsidRDefault="009C2EF0" w:rsidP="00F31F06">
            <w:pPr>
              <w:pStyle w:val="procedurestablestyle"/>
              <w:ind w:left="42" w:hanging="42"/>
              <w:jc w:val="both"/>
              <w:rPr>
                <w:szCs w:val="24"/>
                <w:lang w:val="es-ES"/>
              </w:rPr>
            </w:pPr>
            <w:r w:rsidRPr="009C2EF0">
              <w:rPr>
                <w:szCs w:val="24"/>
                <w:lang w:val="es-ES"/>
              </w:rPr>
              <w:t xml:space="preserve">Tres días antes de la visita del </w:t>
            </w:r>
            <w:r w:rsidRPr="009C2EF0">
              <w:rPr>
                <w:szCs w:val="24"/>
                <w:lang w:val="es-ES"/>
              </w:rPr>
              <w:lastRenderedPageBreak/>
              <w:t xml:space="preserve">sitio, confirma la fecha y la hora. </w:t>
            </w:r>
          </w:p>
        </w:tc>
        <w:tc>
          <w:tcPr>
            <w:tcW w:w="2551" w:type="dxa"/>
            <w:tcBorders>
              <w:top w:val="single" w:sz="36" w:space="0" w:color="FFFFFF"/>
              <w:left w:val="single" w:sz="6" w:space="0" w:color="FFFFFF"/>
              <w:bottom w:val="single" w:sz="6" w:space="0" w:color="FFFFFF"/>
              <w:right w:val="single" w:sz="36" w:space="0" w:color="FFFFFF"/>
            </w:tcBorders>
            <w:shd w:val="pct5" w:color="000000" w:fill="FFFFFF"/>
          </w:tcPr>
          <w:p w14:paraId="138D3ABA" w14:textId="77777777" w:rsidR="009C2EF0" w:rsidRPr="009C2EF0" w:rsidRDefault="009C2EF0" w:rsidP="00F31F06">
            <w:pPr>
              <w:pStyle w:val="procedurestablestyle"/>
              <w:jc w:val="both"/>
              <w:rPr>
                <w:szCs w:val="24"/>
                <w:lang w:val="es-ES"/>
              </w:rPr>
            </w:pPr>
            <w:r w:rsidRPr="009C2EF0">
              <w:rPr>
                <w:szCs w:val="24"/>
                <w:lang w:val="es-ES"/>
              </w:rPr>
              <w:lastRenderedPageBreak/>
              <w:t>Carta de confirmación de la visita del sitio</w:t>
            </w:r>
          </w:p>
          <w:p w14:paraId="2C12A6B2" w14:textId="77777777" w:rsidR="009C2EF0" w:rsidRPr="009C2EF0" w:rsidRDefault="009C2EF0" w:rsidP="00F31F06">
            <w:pPr>
              <w:pStyle w:val="procedurestablestyle"/>
              <w:jc w:val="both"/>
              <w:rPr>
                <w:szCs w:val="24"/>
                <w:lang w:val="es-ES"/>
              </w:rPr>
            </w:pPr>
          </w:p>
        </w:tc>
      </w:tr>
      <w:tr w:rsidR="009C2EF0" w:rsidRPr="009C2EF0" w14:paraId="4C303907" w14:textId="77777777" w:rsidTr="00F31F06">
        <w:tc>
          <w:tcPr>
            <w:tcW w:w="2250" w:type="dxa"/>
            <w:tcBorders>
              <w:top w:val="single" w:sz="6" w:space="0" w:color="FFFFFF"/>
              <w:left w:val="single" w:sz="36" w:space="0" w:color="FFFFFF"/>
              <w:bottom w:val="single" w:sz="6" w:space="0" w:color="FFFFFF"/>
              <w:right w:val="single" w:sz="6" w:space="0" w:color="FFFFFF"/>
            </w:tcBorders>
            <w:shd w:val="pct5" w:color="000000" w:fill="FFFFFF"/>
          </w:tcPr>
          <w:p w14:paraId="0E5318E5" w14:textId="77777777" w:rsidR="009C2EF0" w:rsidRPr="009C2EF0" w:rsidRDefault="009C2EF0" w:rsidP="00F31F06">
            <w:pPr>
              <w:pStyle w:val="procedurestablestyle"/>
              <w:jc w:val="both"/>
              <w:rPr>
                <w:i/>
                <w:szCs w:val="24"/>
                <w:lang w:val="es-ES"/>
              </w:rPr>
            </w:pPr>
            <w:r w:rsidRPr="009C2EF0">
              <w:rPr>
                <w:i/>
                <w:szCs w:val="24"/>
                <w:lang w:val="es-ES"/>
              </w:rPr>
              <w:lastRenderedPageBreak/>
              <w:t>Visitante del sitio</w:t>
            </w:r>
          </w:p>
          <w:p w14:paraId="24EEB94C" w14:textId="77777777" w:rsidR="009C2EF0" w:rsidRPr="009C2EF0" w:rsidRDefault="009C2EF0" w:rsidP="00F31F06">
            <w:pPr>
              <w:pStyle w:val="procedurestablestyle"/>
              <w:jc w:val="both"/>
              <w:rPr>
                <w:szCs w:val="24"/>
                <w:lang w:val="es-ES"/>
              </w:rPr>
            </w:pPr>
            <w:r w:rsidRPr="009C2EF0">
              <w:rPr>
                <w:i/>
                <w:szCs w:val="24"/>
                <w:lang w:val="es-ES"/>
              </w:rPr>
              <w:t>(Monitor)</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14:paraId="7547639C" w14:textId="77777777" w:rsidR="009C2EF0" w:rsidRPr="009C2EF0" w:rsidRDefault="009C2EF0" w:rsidP="00F31F06">
            <w:pPr>
              <w:pStyle w:val="procedurestablestyle"/>
              <w:jc w:val="both"/>
              <w:rPr>
                <w:szCs w:val="24"/>
                <w:lang w:val="es-ES"/>
              </w:rPr>
            </w:pPr>
            <w:r w:rsidRPr="009C2EF0">
              <w:rPr>
                <w:szCs w:val="24"/>
                <w:lang w:val="es-ES"/>
              </w:rPr>
              <w:t>Lleva al sitio de investigación una copia completa del formato de Registro para Protocolos y el resumen actualizado del estudio, así como del documento  de consentimiento informado, y de cualquier informe de evento adverso  que se haya sometido.</w:t>
            </w:r>
          </w:p>
          <w:p w14:paraId="4EC5510E" w14:textId="77777777" w:rsidR="009C2EF0" w:rsidRPr="009C2EF0" w:rsidRDefault="009C2EF0" w:rsidP="00F31F06">
            <w:pPr>
              <w:pStyle w:val="procedurestablestyle"/>
              <w:jc w:val="both"/>
              <w:rPr>
                <w:szCs w:val="24"/>
                <w:lang w:val="es-ES"/>
              </w:rPr>
            </w:pPr>
            <w:r w:rsidRPr="009C2EF0">
              <w:rPr>
                <w:szCs w:val="24"/>
                <w:lang w:val="es-ES"/>
              </w:rPr>
              <w:t>Confirma que el estudio se esté conduciendo de acuerdo con la información proporcionada en estos documentos mediante la observación, directa si es posible. En especial: el método de reclutamiento  de los sujetos, en particular que haya salvaguardas en el lugar para proteger a los sujetos vulnerables a la coerción o a la influencia indebida; el proceso para obtener el consentimiento informado, el documento de consentimiento informado que es utilizado, las instalaciones disponibles en caso de emergencia.</w:t>
            </w:r>
          </w:p>
          <w:p w14:paraId="02C369D2" w14:textId="77777777" w:rsidR="009C2EF0" w:rsidRPr="009C2EF0" w:rsidRDefault="009C2EF0" w:rsidP="00F31F06">
            <w:pPr>
              <w:pStyle w:val="procedurestablestyle"/>
              <w:jc w:val="both"/>
              <w:rPr>
                <w:szCs w:val="24"/>
                <w:lang w:val="es-ES"/>
              </w:rPr>
            </w:pPr>
            <w:r w:rsidRPr="009C2EF0">
              <w:rPr>
                <w:szCs w:val="24"/>
                <w:lang w:val="es-ES"/>
              </w:rPr>
              <w:t>Si procede, obtiene la información sobre cualquier evento adverso reportado.</w:t>
            </w:r>
          </w:p>
          <w:p w14:paraId="1DBF47B3" w14:textId="77777777" w:rsidR="009C2EF0" w:rsidRPr="009C2EF0" w:rsidRDefault="009C2EF0" w:rsidP="00F31F06">
            <w:pPr>
              <w:pStyle w:val="procedurestablestyle"/>
              <w:jc w:val="both"/>
              <w:rPr>
                <w:szCs w:val="24"/>
                <w:lang w:val="es-ES"/>
              </w:rPr>
            </w:pPr>
            <w:r w:rsidRPr="009C2EF0">
              <w:rPr>
                <w:szCs w:val="24"/>
                <w:lang w:val="es-ES"/>
              </w:rPr>
              <w:t>Si procede, obtiene la información sobre cualquier acontecimiento adverso que pudo no ser reportado.</w:t>
            </w:r>
          </w:p>
          <w:p w14:paraId="4E2E7086" w14:textId="77777777" w:rsidR="009C2EF0" w:rsidRPr="009C2EF0" w:rsidRDefault="009C2EF0" w:rsidP="00F31F06">
            <w:pPr>
              <w:pStyle w:val="procedurestablestyle"/>
              <w:jc w:val="both"/>
              <w:rPr>
                <w:szCs w:val="24"/>
                <w:lang w:val="es-ES"/>
              </w:rPr>
            </w:pPr>
            <w:r w:rsidRPr="009C2EF0">
              <w:rPr>
                <w:szCs w:val="24"/>
                <w:lang w:val="es-ES"/>
              </w:rPr>
              <w:t>Si el proyecto está inactivo, suspendido o terminado, obtiene la información con respecto a este estatus.</w:t>
            </w:r>
          </w:p>
          <w:p w14:paraId="669FB4FF" w14:textId="77777777" w:rsidR="009C2EF0" w:rsidRPr="009C2EF0" w:rsidRDefault="009C2EF0" w:rsidP="00F31F06">
            <w:pPr>
              <w:pStyle w:val="procedurestablestyle"/>
              <w:jc w:val="both"/>
              <w:rPr>
                <w:szCs w:val="24"/>
                <w:lang w:val="es-ES"/>
              </w:rPr>
            </w:pPr>
            <w:r w:rsidRPr="009C2EF0">
              <w:rPr>
                <w:szCs w:val="24"/>
                <w:lang w:val="es-ES"/>
              </w:rPr>
              <w:lastRenderedPageBreak/>
              <w:t>Termina el informe de la visita del sitio y lo entrega a la Secretaria Asistente del Comité.</w:t>
            </w:r>
          </w:p>
        </w:tc>
        <w:tc>
          <w:tcPr>
            <w:tcW w:w="2551" w:type="dxa"/>
            <w:tcBorders>
              <w:top w:val="single" w:sz="6" w:space="0" w:color="FFFFFF"/>
              <w:left w:val="single" w:sz="6" w:space="0" w:color="FFFFFF"/>
              <w:bottom w:val="single" w:sz="6" w:space="0" w:color="FFFFFF"/>
              <w:right w:val="single" w:sz="36" w:space="0" w:color="FFFFFF"/>
            </w:tcBorders>
            <w:shd w:val="pct5" w:color="000000" w:fill="FFFFFF"/>
          </w:tcPr>
          <w:p w14:paraId="17EF7F31" w14:textId="77777777" w:rsidR="009C2EF0" w:rsidRPr="009C2EF0" w:rsidRDefault="009C2EF0" w:rsidP="00F31F06">
            <w:pPr>
              <w:pStyle w:val="procedurestablestyle"/>
              <w:jc w:val="both"/>
              <w:rPr>
                <w:szCs w:val="24"/>
                <w:lang w:val="es-ES"/>
              </w:rPr>
            </w:pPr>
            <w:r w:rsidRPr="009C2EF0">
              <w:rPr>
                <w:szCs w:val="24"/>
                <w:lang w:val="es-ES"/>
              </w:rPr>
              <w:lastRenderedPageBreak/>
              <w:t>Hoja de trabajo de la visita del sitio</w:t>
            </w:r>
          </w:p>
          <w:p w14:paraId="59EF4B7F" w14:textId="77777777" w:rsidR="009C2EF0" w:rsidRPr="009C2EF0" w:rsidRDefault="009C2EF0" w:rsidP="00F31F06">
            <w:pPr>
              <w:pStyle w:val="procedurestablestyle"/>
              <w:jc w:val="both"/>
              <w:rPr>
                <w:szCs w:val="24"/>
                <w:lang w:val="es-ES"/>
              </w:rPr>
            </w:pPr>
            <w:r w:rsidRPr="009C2EF0">
              <w:rPr>
                <w:szCs w:val="24"/>
                <w:lang w:val="es-ES"/>
              </w:rPr>
              <w:t>Informe de la visita del sitio</w:t>
            </w:r>
          </w:p>
        </w:tc>
      </w:tr>
      <w:tr w:rsidR="009C2EF0" w:rsidRPr="009C2EF0" w14:paraId="46D7AD25" w14:textId="77777777" w:rsidTr="00F31F06">
        <w:tc>
          <w:tcPr>
            <w:tcW w:w="2250" w:type="dxa"/>
            <w:tcBorders>
              <w:top w:val="single" w:sz="6" w:space="0" w:color="FFFFFF"/>
              <w:left w:val="single" w:sz="36" w:space="0" w:color="FFFFFF"/>
              <w:bottom w:val="single" w:sz="6" w:space="0" w:color="FFFFFF"/>
              <w:right w:val="single" w:sz="6" w:space="0" w:color="FFFFFF"/>
            </w:tcBorders>
            <w:shd w:val="pct5" w:color="000000" w:fill="FFFFFF"/>
          </w:tcPr>
          <w:p w14:paraId="71089EFA" w14:textId="77777777" w:rsidR="009C2EF0" w:rsidRPr="009C2EF0" w:rsidRDefault="009C2EF0" w:rsidP="00F31F06">
            <w:pPr>
              <w:pStyle w:val="procedurestablestyle"/>
              <w:jc w:val="both"/>
              <w:rPr>
                <w:szCs w:val="24"/>
                <w:lang w:val="es-ES"/>
              </w:rPr>
            </w:pPr>
            <w:r w:rsidRPr="009C2EF0">
              <w:rPr>
                <w:i/>
                <w:szCs w:val="24"/>
                <w:lang w:val="es-ES"/>
              </w:rPr>
              <w:lastRenderedPageBreak/>
              <w:t>Secretaria Asistente</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14:paraId="72C7CA10" w14:textId="77777777" w:rsidR="009C2EF0" w:rsidRPr="009C2EF0" w:rsidRDefault="009C2EF0" w:rsidP="00F31F06">
            <w:pPr>
              <w:pStyle w:val="procedurestablestyle"/>
              <w:jc w:val="both"/>
              <w:rPr>
                <w:szCs w:val="24"/>
                <w:lang w:val="es-ES"/>
              </w:rPr>
            </w:pPr>
            <w:r w:rsidRPr="009C2EF0">
              <w:rPr>
                <w:szCs w:val="24"/>
                <w:lang w:val="es-ES"/>
              </w:rPr>
              <w:t>Entrega el informe de la visita del sitio al Presidente del Comité  para la revisión.</w:t>
            </w:r>
          </w:p>
          <w:p w14:paraId="759FC1B8" w14:textId="77777777" w:rsidR="009C2EF0" w:rsidRPr="009C2EF0" w:rsidRDefault="009C2EF0" w:rsidP="00F31F06">
            <w:pPr>
              <w:pStyle w:val="procedurestablestyle"/>
              <w:jc w:val="both"/>
              <w:rPr>
                <w:szCs w:val="24"/>
                <w:lang w:val="es-ES"/>
              </w:rPr>
            </w:pPr>
            <w:r w:rsidRPr="009C2EF0">
              <w:rPr>
                <w:szCs w:val="24"/>
                <w:lang w:val="es-ES"/>
              </w:rPr>
              <w:t>Incluye la discusión de la visita del sitio en la agenda para la siguiente junta del Comité.</w:t>
            </w:r>
          </w:p>
        </w:tc>
        <w:tc>
          <w:tcPr>
            <w:tcW w:w="2551" w:type="dxa"/>
            <w:tcBorders>
              <w:top w:val="single" w:sz="6" w:space="0" w:color="FFFFFF"/>
              <w:left w:val="single" w:sz="6" w:space="0" w:color="FFFFFF"/>
              <w:bottom w:val="single" w:sz="6" w:space="0" w:color="FFFFFF"/>
              <w:right w:val="single" w:sz="36" w:space="0" w:color="FFFFFF"/>
            </w:tcBorders>
            <w:shd w:val="pct5" w:color="000000" w:fill="FFFFFF"/>
          </w:tcPr>
          <w:p w14:paraId="0CD79E11" w14:textId="77777777" w:rsidR="009C2EF0" w:rsidRPr="009C2EF0" w:rsidRDefault="009C2EF0" w:rsidP="00F31F06">
            <w:pPr>
              <w:pStyle w:val="procedurestablestyle"/>
              <w:jc w:val="both"/>
              <w:rPr>
                <w:szCs w:val="24"/>
                <w:lang w:val="es-ES"/>
              </w:rPr>
            </w:pPr>
          </w:p>
        </w:tc>
      </w:tr>
      <w:tr w:rsidR="009C2EF0" w:rsidRPr="009C2EF0" w14:paraId="013CDDF1" w14:textId="77777777" w:rsidTr="00F31F06">
        <w:tc>
          <w:tcPr>
            <w:tcW w:w="2250" w:type="dxa"/>
            <w:tcBorders>
              <w:top w:val="single" w:sz="6" w:space="0" w:color="FFFFFF"/>
              <w:left w:val="single" w:sz="36" w:space="0" w:color="FFFFFF"/>
              <w:bottom w:val="single" w:sz="6" w:space="0" w:color="FFFFFF"/>
              <w:right w:val="single" w:sz="6" w:space="0" w:color="FFFFFF"/>
            </w:tcBorders>
            <w:shd w:val="pct5" w:color="000000" w:fill="FFFFFF"/>
          </w:tcPr>
          <w:p w14:paraId="5B1A3C68" w14:textId="77777777" w:rsidR="009C2EF0" w:rsidRPr="009C2EF0" w:rsidRDefault="009C2EF0" w:rsidP="00F31F06">
            <w:pPr>
              <w:pStyle w:val="procedurestablestyle"/>
              <w:jc w:val="both"/>
              <w:rPr>
                <w:szCs w:val="24"/>
                <w:lang w:val="es-ES"/>
              </w:rPr>
            </w:pPr>
            <w:r w:rsidRPr="009C2EF0">
              <w:rPr>
                <w:i/>
                <w:szCs w:val="24"/>
                <w:lang w:val="es-ES"/>
              </w:rPr>
              <w:t xml:space="preserve">Presidente del </w:t>
            </w:r>
            <w:r w:rsidRPr="009C2EF0">
              <w:rPr>
                <w:szCs w:val="24"/>
                <w:lang w:val="es-ES"/>
              </w:rPr>
              <w:t>Comité de Ética, Investigación y Bioseguridad</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14:paraId="188C4510" w14:textId="77777777" w:rsidR="009C2EF0" w:rsidRPr="009C2EF0" w:rsidRDefault="009C2EF0" w:rsidP="00F31F06">
            <w:pPr>
              <w:pStyle w:val="procedurestablestyle"/>
              <w:jc w:val="both"/>
              <w:rPr>
                <w:szCs w:val="24"/>
                <w:lang w:val="es-ES"/>
              </w:rPr>
            </w:pPr>
            <w:r w:rsidRPr="009C2EF0">
              <w:rPr>
                <w:szCs w:val="24"/>
                <w:lang w:val="es-ES"/>
              </w:rPr>
              <w:t>Revisa el reporte  y determina si es necesario dar un seguimiento</w:t>
            </w:r>
          </w:p>
        </w:tc>
        <w:tc>
          <w:tcPr>
            <w:tcW w:w="2551" w:type="dxa"/>
            <w:tcBorders>
              <w:top w:val="single" w:sz="6" w:space="0" w:color="FFFFFF"/>
              <w:left w:val="single" w:sz="6" w:space="0" w:color="FFFFFF"/>
              <w:bottom w:val="single" w:sz="6" w:space="0" w:color="FFFFFF"/>
              <w:right w:val="single" w:sz="36" w:space="0" w:color="FFFFFF"/>
            </w:tcBorders>
            <w:shd w:val="pct5" w:color="000000" w:fill="FFFFFF"/>
          </w:tcPr>
          <w:p w14:paraId="58424423" w14:textId="77777777" w:rsidR="009C2EF0" w:rsidRPr="009C2EF0" w:rsidRDefault="009C2EF0" w:rsidP="00F31F06">
            <w:pPr>
              <w:pStyle w:val="procedurestablestyle"/>
              <w:jc w:val="both"/>
              <w:rPr>
                <w:szCs w:val="24"/>
                <w:lang w:val="es-ES"/>
              </w:rPr>
            </w:pPr>
            <w:r w:rsidRPr="009C2EF0">
              <w:rPr>
                <w:szCs w:val="24"/>
                <w:lang w:val="es-ES"/>
              </w:rPr>
              <w:t>Hoja de trabajo de la visita del sitio</w:t>
            </w:r>
          </w:p>
        </w:tc>
      </w:tr>
      <w:tr w:rsidR="00D22A2B" w:rsidRPr="009C2EF0" w14:paraId="19E7D853" w14:textId="77777777" w:rsidTr="00F31F06">
        <w:tc>
          <w:tcPr>
            <w:tcW w:w="2250" w:type="dxa"/>
            <w:tcBorders>
              <w:top w:val="single" w:sz="6" w:space="0" w:color="FFFFFF"/>
              <w:left w:val="single" w:sz="36" w:space="0" w:color="FFFFFF"/>
              <w:bottom w:val="single" w:sz="6" w:space="0" w:color="FFFFFF"/>
              <w:right w:val="single" w:sz="6" w:space="0" w:color="FFFFFF"/>
            </w:tcBorders>
            <w:shd w:val="pct5" w:color="000000" w:fill="FFFFFF"/>
          </w:tcPr>
          <w:p w14:paraId="65CC0C6D" w14:textId="5AE77F68" w:rsidR="00D22A2B" w:rsidRPr="009835F0" w:rsidRDefault="00D22A2B" w:rsidP="00F31F06">
            <w:pPr>
              <w:pStyle w:val="procedurestablestyle"/>
              <w:jc w:val="both"/>
              <w:rPr>
                <w:szCs w:val="24"/>
                <w:lang w:val="es-ES"/>
              </w:rPr>
            </w:pPr>
            <w:r w:rsidRPr="009835F0">
              <w:rPr>
                <w:szCs w:val="24"/>
                <w:lang w:val="es-ES"/>
              </w:rPr>
              <w:t>Investigador Principal</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14:paraId="6005A104" w14:textId="51D51685" w:rsidR="00D22A2B" w:rsidRPr="009C2EF0" w:rsidRDefault="00D22A2B" w:rsidP="00F31F06">
            <w:pPr>
              <w:pStyle w:val="procedurestablestyle"/>
              <w:jc w:val="both"/>
              <w:rPr>
                <w:szCs w:val="24"/>
                <w:lang w:val="es-ES"/>
              </w:rPr>
            </w:pPr>
            <w:r>
              <w:rPr>
                <w:szCs w:val="24"/>
                <w:lang w:val="es-ES"/>
              </w:rPr>
              <w:t>Una vez efectuada la auditoria por terceros el investigador tiene la obligación de informar al Comité de los resultados.</w:t>
            </w:r>
          </w:p>
        </w:tc>
        <w:tc>
          <w:tcPr>
            <w:tcW w:w="2551" w:type="dxa"/>
            <w:tcBorders>
              <w:top w:val="single" w:sz="6" w:space="0" w:color="FFFFFF"/>
              <w:left w:val="single" w:sz="6" w:space="0" w:color="FFFFFF"/>
              <w:bottom w:val="single" w:sz="6" w:space="0" w:color="FFFFFF"/>
              <w:right w:val="single" w:sz="36" w:space="0" w:color="FFFFFF"/>
            </w:tcBorders>
            <w:shd w:val="pct5" w:color="000000" w:fill="FFFFFF"/>
          </w:tcPr>
          <w:p w14:paraId="52FEF41D" w14:textId="77777777" w:rsidR="00D22A2B" w:rsidRPr="009C2EF0" w:rsidRDefault="00D22A2B" w:rsidP="00F31F06">
            <w:pPr>
              <w:pStyle w:val="procedurestablestyle"/>
              <w:jc w:val="both"/>
              <w:rPr>
                <w:szCs w:val="24"/>
                <w:lang w:val="es-ES"/>
              </w:rPr>
            </w:pPr>
          </w:p>
        </w:tc>
      </w:tr>
    </w:tbl>
    <w:p w14:paraId="0557F501" w14:textId="77777777" w:rsidR="009C2EF0" w:rsidRPr="009C2EF0" w:rsidRDefault="009C2EF0" w:rsidP="009C2EF0">
      <w:pPr>
        <w:rPr>
          <w:rFonts w:ascii="Arial" w:hAnsi="Arial" w:cs="Arial"/>
        </w:rPr>
      </w:pPr>
      <w:r w:rsidRPr="009C2EF0">
        <w:rPr>
          <w:rFonts w:ascii="Arial" w:hAnsi="Arial" w:cs="Arial"/>
        </w:rPr>
        <w:br w:type="page"/>
      </w:r>
    </w:p>
    <w:p w14:paraId="1A5EE4EB" w14:textId="77777777" w:rsidR="009C2EF0" w:rsidRPr="009C2EF0" w:rsidRDefault="009C2EF0" w:rsidP="009C2EF0">
      <w:pPr>
        <w:pStyle w:val="Ttulo2"/>
        <w:ind w:left="288"/>
        <w:jc w:val="both"/>
        <w:rPr>
          <w:rFonts w:ascii="Arial" w:hAnsi="Arial" w:cs="Arial"/>
          <w:color w:val="auto"/>
          <w:sz w:val="24"/>
          <w:szCs w:val="24"/>
        </w:rPr>
      </w:pPr>
      <w:r w:rsidRPr="009C2EF0">
        <w:rPr>
          <w:rFonts w:ascii="Arial" w:hAnsi="Arial" w:cs="Arial"/>
          <w:color w:val="auto"/>
          <w:sz w:val="24"/>
          <w:szCs w:val="24"/>
        </w:rPr>
        <w:lastRenderedPageBreak/>
        <w:t>B. Eventos adversos serios e inesperados</w:t>
      </w:r>
    </w:p>
    <w:tbl>
      <w:tblPr>
        <w:tblW w:w="8654" w:type="dxa"/>
        <w:tblInd w:w="108" w:type="dxa"/>
        <w:tblLayout w:type="fixed"/>
        <w:tblLook w:val="0000" w:firstRow="0" w:lastRow="0" w:firstColumn="0" w:lastColumn="0" w:noHBand="0" w:noVBand="0"/>
      </w:tblPr>
      <w:tblGrid>
        <w:gridCol w:w="2250"/>
        <w:gridCol w:w="3704"/>
        <w:gridCol w:w="2700"/>
      </w:tblGrid>
      <w:tr w:rsidR="009C2EF0" w:rsidRPr="009C2EF0" w14:paraId="3BB1306C" w14:textId="77777777" w:rsidTr="00F31F06">
        <w:trPr>
          <w:cantSplit/>
        </w:trPr>
        <w:tc>
          <w:tcPr>
            <w:tcW w:w="2250" w:type="dxa"/>
            <w:tcBorders>
              <w:top w:val="single" w:sz="6" w:space="0" w:color="FFFFFF"/>
              <w:left w:val="single" w:sz="36" w:space="0" w:color="FFFFFF"/>
              <w:bottom w:val="single" w:sz="36" w:space="0" w:color="FFFFFF"/>
              <w:right w:val="single" w:sz="6" w:space="0" w:color="FFFFFF"/>
            </w:tcBorders>
            <w:shd w:val="pct10" w:color="000000" w:fill="FFFFFF"/>
          </w:tcPr>
          <w:p w14:paraId="4580DA62" w14:textId="77777777" w:rsidR="009C2EF0" w:rsidRPr="009C2EF0" w:rsidRDefault="009C2EF0" w:rsidP="00F31F06">
            <w:pPr>
              <w:pStyle w:val="procedurestablestyle"/>
              <w:jc w:val="both"/>
              <w:rPr>
                <w:szCs w:val="24"/>
                <w:lang w:val="es-ES"/>
              </w:rPr>
            </w:pPr>
            <w:r w:rsidRPr="009C2EF0">
              <w:rPr>
                <w:b/>
                <w:szCs w:val="24"/>
                <w:lang w:val="es-ES"/>
              </w:rPr>
              <w:t>Quién</w:t>
            </w:r>
            <w:r w:rsidRPr="009C2EF0">
              <w:rPr>
                <w:szCs w:val="24"/>
                <w:lang w:val="es-ES"/>
              </w:rPr>
              <w:t xml:space="preserve"> </w:t>
            </w:r>
          </w:p>
        </w:tc>
        <w:tc>
          <w:tcPr>
            <w:tcW w:w="3704" w:type="dxa"/>
            <w:tcBorders>
              <w:top w:val="single" w:sz="6" w:space="0" w:color="FFFFFF"/>
              <w:left w:val="single" w:sz="6" w:space="0" w:color="FFFFFF"/>
              <w:bottom w:val="single" w:sz="36" w:space="0" w:color="FFFFFF"/>
              <w:right w:val="single" w:sz="6" w:space="0" w:color="FFFFFF"/>
            </w:tcBorders>
            <w:shd w:val="pct10" w:color="000000" w:fill="FFFFFF"/>
          </w:tcPr>
          <w:p w14:paraId="7B46BCF9" w14:textId="77777777" w:rsidR="009C2EF0" w:rsidRPr="009C2EF0" w:rsidRDefault="009C2EF0" w:rsidP="00F31F06">
            <w:pPr>
              <w:pStyle w:val="procedurestablestyle"/>
              <w:jc w:val="both"/>
              <w:rPr>
                <w:szCs w:val="24"/>
                <w:lang w:val="es-ES"/>
              </w:rPr>
            </w:pPr>
            <w:r w:rsidRPr="009C2EF0">
              <w:rPr>
                <w:b/>
                <w:szCs w:val="24"/>
                <w:lang w:val="es-ES"/>
              </w:rPr>
              <w:t>Tarea</w:t>
            </w:r>
          </w:p>
        </w:tc>
        <w:tc>
          <w:tcPr>
            <w:tcW w:w="2700" w:type="dxa"/>
            <w:tcBorders>
              <w:top w:val="single" w:sz="6" w:space="0" w:color="FFFFFF"/>
              <w:left w:val="single" w:sz="6" w:space="0" w:color="FFFFFF"/>
              <w:bottom w:val="single" w:sz="36" w:space="0" w:color="FFFFFF"/>
              <w:right w:val="single" w:sz="36" w:space="0" w:color="FFFFFF"/>
            </w:tcBorders>
            <w:shd w:val="pct10" w:color="000000" w:fill="FFFFFF"/>
          </w:tcPr>
          <w:p w14:paraId="63CC9D08" w14:textId="77777777" w:rsidR="009C2EF0" w:rsidRPr="009C2EF0" w:rsidRDefault="009C2EF0" w:rsidP="00F31F06">
            <w:pPr>
              <w:pStyle w:val="procedurestablestyle"/>
              <w:jc w:val="both"/>
              <w:rPr>
                <w:szCs w:val="24"/>
                <w:lang w:val="es-ES"/>
              </w:rPr>
            </w:pPr>
            <w:r w:rsidRPr="009C2EF0">
              <w:rPr>
                <w:b/>
                <w:szCs w:val="24"/>
                <w:lang w:val="es-ES"/>
              </w:rPr>
              <w:t>Herramienta</w:t>
            </w:r>
          </w:p>
        </w:tc>
      </w:tr>
      <w:tr w:rsidR="009C2EF0" w:rsidRPr="009C2EF0" w14:paraId="104609A6" w14:textId="77777777" w:rsidTr="00F31F06">
        <w:trPr>
          <w:cantSplit/>
        </w:trPr>
        <w:tc>
          <w:tcPr>
            <w:tcW w:w="2250" w:type="dxa"/>
            <w:tcBorders>
              <w:top w:val="single" w:sz="36" w:space="0" w:color="FFFFFF"/>
              <w:left w:val="single" w:sz="36" w:space="0" w:color="FFFFFF"/>
              <w:bottom w:val="single" w:sz="6" w:space="0" w:color="FFFFFF"/>
              <w:right w:val="single" w:sz="6" w:space="0" w:color="FFFFFF"/>
            </w:tcBorders>
            <w:shd w:val="pct5" w:color="000000" w:fill="FFFFFF"/>
          </w:tcPr>
          <w:p w14:paraId="179B6405" w14:textId="77777777" w:rsidR="009C2EF0" w:rsidRPr="009C2EF0" w:rsidRDefault="009C2EF0" w:rsidP="00F31F06">
            <w:pPr>
              <w:pStyle w:val="procedurestablestyle"/>
              <w:jc w:val="both"/>
              <w:rPr>
                <w:szCs w:val="24"/>
                <w:lang w:val="es-ES"/>
              </w:rPr>
            </w:pPr>
            <w:r w:rsidRPr="009C2EF0">
              <w:rPr>
                <w:i/>
                <w:szCs w:val="24"/>
                <w:lang w:val="es-ES"/>
              </w:rPr>
              <w:t>Secretaria</w:t>
            </w:r>
          </w:p>
        </w:tc>
        <w:tc>
          <w:tcPr>
            <w:tcW w:w="3704" w:type="dxa"/>
            <w:tcBorders>
              <w:top w:val="single" w:sz="36" w:space="0" w:color="FFFFFF"/>
              <w:left w:val="single" w:sz="6" w:space="0" w:color="FFFFFF"/>
              <w:bottom w:val="single" w:sz="6" w:space="0" w:color="FFFFFF"/>
              <w:right w:val="single" w:sz="6" w:space="0" w:color="FFFFFF"/>
            </w:tcBorders>
            <w:shd w:val="pct5" w:color="000000" w:fill="FFFFFF"/>
          </w:tcPr>
          <w:p w14:paraId="3F58E3EA" w14:textId="77777777" w:rsidR="009C2EF0" w:rsidRPr="009C2EF0" w:rsidRDefault="009C2EF0" w:rsidP="00F31F06">
            <w:pPr>
              <w:pStyle w:val="procedurestablestyle"/>
              <w:jc w:val="both"/>
              <w:rPr>
                <w:szCs w:val="24"/>
                <w:lang w:val="es-ES"/>
              </w:rPr>
            </w:pPr>
            <w:r w:rsidRPr="009C2EF0">
              <w:rPr>
                <w:szCs w:val="24"/>
                <w:lang w:val="es-ES"/>
              </w:rPr>
              <w:t>Un informe de un evento adverso serio se puede recibir vía fax, correo postal, teléfono, Internet, o de forma personal, por escrito, en las oficinas de la Subdirección de Investigación.</w:t>
            </w:r>
          </w:p>
          <w:p w14:paraId="502C6884" w14:textId="77777777" w:rsidR="009C2EF0" w:rsidRPr="009C2EF0" w:rsidRDefault="009C2EF0" w:rsidP="00F31F06">
            <w:pPr>
              <w:pStyle w:val="procedurestablestyle"/>
              <w:jc w:val="both"/>
              <w:rPr>
                <w:szCs w:val="24"/>
                <w:lang w:val="es-ES"/>
              </w:rPr>
            </w:pPr>
            <w:r w:rsidRPr="009C2EF0">
              <w:rPr>
                <w:szCs w:val="24"/>
                <w:lang w:val="es-ES"/>
              </w:rPr>
              <w:t>Una vez recibido, ponga la fecha actual en la esquina derecha superior del informe.</w:t>
            </w:r>
          </w:p>
          <w:p w14:paraId="52B267FE" w14:textId="77777777" w:rsidR="009C2EF0" w:rsidRPr="009C2EF0" w:rsidRDefault="009C2EF0" w:rsidP="00F31F06">
            <w:pPr>
              <w:pStyle w:val="procedurestablestyle"/>
              <w:jc w:val="both"/>
              <w:rPr>
                <w:szCs w:val="24"/>
                <w:lang w:val="es-ES"/>
              </w:rPr>
            </w:pPr>
            <w:r w:rsidRPr="009C2EF0">
              <w:rPr>
                <w:szCs w:val="24"/>
                <w:lang w:val="es-ES"/>
              </w:rPr>
              <w:t>Si es notificado por teléfono, indique que recibió la llamada en el Registro de comunicación.  Usando el formato de reporte de evento adverso serio, registra la información transmitida y pide la información adicional según lo indicado en el formato.</w:t>
            </w:r>
          </w:p>
          <w:p w14:paraId="214C6586" w14:textId="77777777" w:rsidR="009C2EF0" w:rsidRPr="009C2EF0" w:rsidRDefault="009C2EF0" w:rsidP="00F31F06">
            <w:pPr>
              <w:pStyle w:val="procedurestablestyle"/>
              <w:jc w:val="both"/>
              <w:rPr>
                <w:szCs w:val="24"/>
                <w:lang w:val="es-ES"/>
              </w:rPr>
            </w:pPr>
            <w:r w:rsidRPr="009C2EF0">
              <w:rPr>
                <w:szCs w:val="24"/>
                <w:lang w:val="es-ES"/>
              </w:rPr>
              <w:t>Registra el evento adverso en  la base de datos apropiada.</w:t>
            </w:r>
          </w:p>
          <w:p w14:paraId="0ADF8EE3" w14:textId="77777777" w:rsidR="009C2EF0" w:rsidRPr="009C2EF0" w:rsidRDefault="009C2EF0" w:rsidP="00F31F06">
            <w:pPr>
              <w:pStyle w:val="procedurestablestyle"/>
              <w:jc w:val="both"/>
              <w:rPr>
                <w:szCs w:val="24"/>
                <w:lang w:val="es-ES"/>
              </w:rPr>
            </w:pPr>
            <w:r w:rsidRPr="009C2EF0">
              <w:rPr>
                <w:szCs w:val="24"/>
                <w:lang w:val="es-ES"/>
              </w:rPr>
              <w:t>Envía un comunicado de la recepción del informe de AE al investigador.</w:t>
            </w:r>
          </w:p>
          <w:p w14:paraId="3D795FB3" w14:textId="77777777" w:rsidR="009C2EF0" w:rsidRPr="009C2EF0" w:rsidRDefault="009C2EF0" w:rsidP="00F31F06">
            <w:pPr>
              <w:pStyle w:val="procedurestablestyle"/>
              <w:jc w:val="both"/>
              <w:rPr>
                <w:szCs w:val="24"/>
                <w:lang w:val="es-ES"/>
              </w:rPr>
            </w:pPr>
            <w:r w:rsidRPr="009C2EF0">
              <w:rPr>
                <w:szCs w:val="24"/>
                <w:lang w:val="es-ES"/>
              </w:rPr>
              <w:t>Agrega toda la información relacionada con el evento adverso al informe y  la entrega al administrador para la revisión.</w:t>
            </w:r>
          </w:p>
        </w:tc>
        <w:tc>
          <w:tcPr>
            <w:tcW w:w="2700" w:type="dxa"/>
            <w:tcBorders>
              <w:top w:val="single" w:sz="36" w:space="0" w:color="FFFFFF"/>
              <w:left w:val="single" w:sz="6" w:space="0" w:color="FFFFFF"/>
              <w:bottom w:val="single" w:sz="6" w:space="0" w:color="FFFFFF"/>
              <w:right w:val="single" w:sz="36" w:space="0" w:color="FFFFFF"/>
            </w:tcBorders>
            <w:shd w:val="pct5" w:color="000000" w:fill="FFFFFF"/>
          </w:tcPr>
          <w:p w14:paraId="74592992" w14:textId="77777777" w:rsidR="009C2EF0" w:rsidRPr="009C2EF0" w:rsidRDefault="009C2EF0" w:rsidP="00F31F06">
            <w:pPr>
              <w:pStyle w:val="procedurestablestyle"/>
              <w:jc w:val="both"/>
              <w:rPr>
                <w:szCs w:val="24"/>
                <w:lang w:val="es-ES"/>
              </w:rPr>
            </w:pPr>
            <w:r w:rsidRPr="009C2EF0">
              <w:rPr>
                <w:szCs w:val="24"/>
                <w:lang w:val="es-ES"/>
              </w:rPr>
              <w:t>Informe de evento adverso serio.</w:t>
            </w:r>
          </w:p>
          <w:p w14:paraId="1B9CB430" w14:textId="77777777" w:rsidR="009C2EF0" w:rsidRPr="009C2EF0" w:rsidRDefault="009C2EF0" w:rsidP="00F31F06">
            <w:pPr>
              <w:pStyle w:val="procedurestablestyle"/>
              <w:jc w:val="both"/>
              <w:rPr>
                <w:szCs w:val="24"/>
                <w:lang w:val="es-ES"/>
              </w:rPr>
            </w:pPr>
            <w:r w:rsidRPr="009C2EF0">
              <w:rPr>
                <w:szCs w:val="24"/>
                <w:lang w:val="es-ES"/>
              </w:rPr>
              <w:t>CO 601-P: Registro de comunicación</w:t>
            </w:r>
          </w:p>
          <w:p w14:paraId="65B94983" w14:textId="77777777" w:rsidR="009C2EF0" w:rsidRPr="009C2EF0" w:rsidRDefault="009C2EF0" w:rsidP="00F31F06">
            <w:pPr>
              <w:pStyle w:val="procedurestablestyle"/>
              <w:jc w:val="both"/>
              <w:rPr>
                <w:szCs w:val="24"/>
                <w:lang w:val="es-ES"/>
              </w:rPr>
            </w:pPr>
            <w:r w:rsidRPr="009C2EF0">
              <w:rPr>
                <w:szCs w:val="24"/>
                <w:lang w:val="es-ES"/>
              </w:rPr>
              <w:t xml:space="preserve">CO 601-I: Acuse de recibo del  Informe de Evento adverso/IND </w:t>
            </w:r>
            <w:r w:rsidRPr="009C2EF0">
              <w:rPr>
                <w:szCs w:val="24"/>
                <w:u w:val="single"/>
                <w:lang w:val="es-ES"/>
              </w:rPr>
              <w:t>Informe</w:t>
            </w:r>
            <w:r w:rsidRPr="009C2EF0">
              <w:rPr>
                <w:szCs w:val="24"/>
                <w:lang w:val="es-ES"/>
              </w:rPr>
              <w:t xml:space="preserve"> de seguridad</w:t>
            </w:r>
          </w:p>
        </w:tc>
      </w:tr>
      <w:tr w:rsidR="009C2EF0" w:rsidRPr="009C2EF0" w14:paraId="57AE64E3" w14:textId="77777777" w:rsidTr="00F31F06">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14:paraId="69ECDDB9" w14:textId="77777777" w:rsidR="009C2EF0" w:rsidRPr="009C2EF0" w:rsidRDefault="009C2EF0" w:rsidP="00F31F06">
            <w:pPr>
              <w:pStyle w:val="procedurestablestyle"/>
              <w:jc w:val="both"/>
              <w:rPr>
                <w:szCs w:val="24"/>
                <w:lang w:val="es-ES"/>
              </w:rPr>
            </w:pPr>
            <w:r w:rsidRPr="009C2EF0">
              <w:rPr>
                <w:i/>
                <w:szCs w:val="24"/>
                <w:lang w:val="es-ES"/>
              </w:rPr>
              <w:t xml:space="preserve">Secretaria del </w:t>
            </w:r>
            <w:r w:rsidRPr="009C2EF0">
              <w:rPr>
                <w:szCs w:val="24"/>
                <w:lang w:val="es-ES"/>
              </w:rPr>
              <w:t>Comité de Ética, Investigación y Bioseguridad</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14:paraId="3F02F9CB" w14:textId="6223ECB4" w:rsidR="009C2EF0" w:rsidRPr="009C2EF0" w:rsidRDefault="009C2EF0" w:rsidP="009437E5">
            <w:pPr>
              <w:pStyle w:val="procedurestablestyle"/>
              <w:jc w:val="both"/>
              <w:rPr>
                <w:szCs w:val="24"/>
                <w:lang w:val="es-ES"/>
              </w:rPr>
            </w:pPr>
            <w:r w:rsidRPr="009C2EF0">
              <w:rPr>
                <w:szCs w:val="24"/>
                <w:lang w:val="es-ES"/>
              </w:rPr>
              <w:t xml:space="preserve">Revisa  todos los informes recibidos de eventos adversos serios o inesperados. Los clasifica, en caso de ser necesario y los entrega al presidente </w:t>
            </w:r>
            <w:r w:rsidR="009437E5">
              <w:rPr>
                <w:szCs w:val="24"/>
                <w:lang w:val="es-ES"/>
              </w:rPr>
              <w:t>o en su caso a la persona que el designe para su</w:t>
            </w:r>
            <w:r w:rsidRPr="009C2EF0">
              <w:rPr>
                <w:szCs w:val="24"/>
                <w:lang w:val="es-ES"/>
              </w:rPr>
              <w:t xml:space="preserve"> revisión.</w:t>
            </w:r>
          </w:p>
        </w:tc>
        <w:tc>
          <w:tcPr>
            <w:tcW w:w="2700" w:type="dxa"/>
            <w:tcBorders>
              <w:top w:val="single" w:sz="6" w:space="0" w:color="FFFFFF"/>
              <w:left w:val="single" w:sz="6" w:space="0" w:color="FFFFFF"/>
              <w:bottom w:val="single" w:sz="6" w:space="0" w:color="FFFFFF"/>
              <w:right w:val="single" w:sz="36" w:space="0" w:color="FFFFFF"/>
            </w:tcBorders>
            <w:shd w:val="pct5" w:color="000000" w:fill="FFFFFF"/>
          </w:tcPr>
          <w:p w14:paraId="7035B6B0" w14:textId="77777777" w:rsidR="009C2EF0" w:rsidRPr="009C2EF0" w:rsidRDefault="009C2EF0" w:rsidP="00F31F06">
            <w:pPr>
              <w:pStyle w:val="procedurestablestyle"/>
              <w:jc w:val="both"/>
              <w:rPr>
                <w:szCs w:val="24"/>
                <w:lang w:val="es-ES"/>
              </w:rPr>
            </w:pPr>
          </w:p>
        </w:tc>
      </w:tr>
      <w:tr w:rsidR="009C2EF0" w:rsidRPr="009C2EF0" w14:paraId="6DE6E324" w14:textId="77777777" w:rsidTr="00F31F06">
        <w:trPr>
          <w:cantSplit/>
          <w:trHeight w:val="200"/>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14:paraId="5861487B" w14:textId="77777777" w:rsidR="009C2EF0" w:rsidRPr="009C2EF0" w:rsidRDefault="009C2EF0" w:rsidP="00F31F06">
            <w:pPr>
              <w:pStyle w:val="procedurestablestyle"/>
              <w:jc w:val="both"/>
              <w:rPr>
                <w:szCs w:val="24"/>
                <w:lang w:val="es-ES"/>
              </w:rPr>
            </w:pPr>
            <w:r w:rsidRPr="009C2EF0">
              <w:rPr>
                <w:i/>
                <w:szCs w:val="24"/>
                <w:lang w:val="es-ES"/>
              </w:rPr>
              <w:lastRenderedPageBreak/>
              <w:t>Presidente</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14:paraId="272685BB" w14:textId="30F0B055" w:rsidR="009C2EF0" w:rsidRPr="009C2EF0" w:rsidRDefault="009C2EF0" w:rsidP="003C0DB9">
            <w:pPr>
              <w:pStyle w:val="procedurestablestyle"/>
              <w:jc w:val="both"/>
              <w:rPr>
                <w:szCs w:val="24"/>
                <w:lang w:val="es-ES"/>
              </w:rPr>
            </w:pPr>
            <w:r w:rsidRPr="009C2EF0">
              <w:rPr>
                <w:szCs w:val="24"/>
                <w:lang w:val="es-ES"/>
              </w:rPr>
              <w:t xml:space="preserve">Revisa los informes de AE. Si el revisor determina que es necesario actuar para proteger la seguridad de los sujetos de la investigación debido a la naturaleza o a la frecuencia de eventos adversos reportados, </w:t>
            </w:r>
            <w:r w:rsidR="003C0DB9">
              <w:rPr>
                <w:szCs w:val="24"/>
                <w:lang w:val="es-ES"/>
              </w:rPr>
              <w:t>el Secretario de Investigación Clínica como responsable del Programa HRPP en conjunto con el Presidente del Comité de Ética y de Investigación revisará</w:t>
            </w:r>
            <w:r w:rsidRPr="009C2EF0">
              <w:rPr>
                <w:szCs w:val="24"/>
                <w:lang w:val="es-ES"/>
              </w:rPr>
              <w:t xml:space="preserve"> los eventos adversos y estudiará la situación en cuestión para determinar la acción, de ser necesaria</w:t>
            </w:r>
            <w:r w:rsidR="003C0DB9">
              <w:rPr>
                <w:szCs w:val="24"/>
                <w:lang w:val="es-ES"/>
              </w:rPr>
              <w:t>.</w:t>
            </w:r>
          </w:p>
        </w:tc>
        <w:tc>
          <w:tcPr>
            <w:tcW w:w="2700" w:type="dxa"/>
            <w:tcBorders>
              <w:top w:val="single" w:sz="6" w:space="0" w:color="FFFFFF"/>
              <w:left w:val="single" w:sz="6" w:space="0" w:color="FFFFFF"/>
              <w:bottom w:val="single" w:sz="6" w:space="0" w:color="FFFFFF"/>
              <w:right w:val="single" w:sz="36" w:space="0" w:color="FFFFFF"/>
            </w:tcBorders>
            <w:shd w:val="pct5" w:color="000000" w:fill="FFFFFF"/>
          </w:tcPr>
          <w:p w14:paraId="0BE511C1" w14:textId="77777777" w:rsidR="009C2EF0" w:rsidRPr="009C2EF0" w:rsidRDefault="009C2EF0" w:rsidP="00F31F06">
            <w:pPr>
              <w:pStyle w:val="procedurestablestyle"/>
              <w:jc w:val="both"/>
              <w:rPr>
                <w:szCs w:val="24"/>
                <w:lang w:val="es-ES"/>
              </w:rPr>
            </w:pPr>
            <w:r w:rsidRPr="009C2EF0">
              <w:rPr>
                <w:szCs w:val="24"/>
                <w:lang w:val="es-ES"/>
              </w:rPr>
              <w:t>Formato de revisión de Informe de Evento Adverso</w:t>
            </w:r>
          </w:p>
        </w:tc>
      </w:tr>
      <w:tr w:rsidR="009C2EF0" w:rsidRPr="009C2EF0" w14:paraId="75D5BAEE" w14:textId="77777777" w:rsidTr="00F31F06">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14:paraId="4DA4C79A" w14:textId="77777777" w:rsidR="009C2EF0" w:rsidRPr="009C2EF0" w:rsidRDefault="009C2EF0" w:rsidP="00F31F06">
            <w:pPr>
              <w:pStyle w:val="procedurestablestyle"/>
              <w:jc w:val="both"/>
              <w:rPr>
                <w:szCs w:val="24"/>
                <w:lang w:val="es-ES"/>
              </w:rPr>
            </w:pPr>
            <w:r w:rsidRPr="009C2EF0">
              <w:rPr>
                <w:i/>
                <w:szCs w:val="24"/>
                <w:lang w:val="es-ES"/>
              </w:rPr>
              <w:t>Secretaria</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14:paraId="458A2B99" w14:textId="77777777" w:rsidR="009C2EF0" w:rsidRPr="009C2EF0" w:rsidRDefault="009C2EF0" w:rsidP="00F31F06">
            <w:pPr>
              <w:pStyle w:val="procedurestablestyle"/>
              <w:jc w:val="both"/>
              <w:rPr>
                <w:szCs w:val="24"/>
                <w:lang w:val="es-ES"/>
              </w:rPr>
            </w:pPr>
            <w:r w:rsidRPr="009C2EF0">
              <w:rPr>
                <w:szCs w:val="24"/>
                <w:lang w:val="es-ES"/>
              </w:rPr>
              <w:t>Realiza los resúmenes de todos los informes de seguridad y los acontecimientos adversos serios para la siguiente junta.</w:t>
            </w:r>
          </w:p>
        </w:tc>
        <w:tc>
          <w:tcPr>
            <w:tcW w:w="2700" w:type="dxa"/>
            <w:tcBorders>
              <w:top w:val="single" w:sz="6" w:space="0" w:color="FFFFFF"/>
              <w:left w:val="single" w:sz="6" w:space="0" w:color="FFFFFF"/>
              <w:bottom w:val="single" w:sz="6" w:space="0" w:color="FFFFFF"/>
              <w:right w:val="single" w:sz="36" w:space="0" w:color="FFFFFF"/>
            </w:tcBorders>
            <w:shd w:val="pct5" w:color="000000" w:fill="FFFFFF"/>
          </w:tcPr>
          <w:p w14:paraId="60B75F73" w14:textId="77777777" w:rsidR="009C2EF0" w:rsidRPr="009C2EF0" w:rsidRDefault="009C2EF0" w:rsidP="00F31F06">
            <w:pPr>
              <w:pStyle w:val="procedurestablestyle"/>
              <w:jc w:val="both"/>
              <w:rPr>
                <w:szCs w:val="24"/>
                <w:lang w:val="es-ES"/>
              </w:rPr>
            </w:pPr>
          </w:p>
        </w:tc>
      </w:tr>
    </w:tbl>
    <w:p w14:paraId="23713BD7" w14:textId="77777777" w:rsidR="009C2EF0" w:rsidRPr="009C2EF0" w:rsidRDefault="009C2EF0" w:rsidP="009C2EF0">
      <w:pPr>
        <w:jc w:val="both"/>
        <w:rPr>
          <w:rFonts w:ascii="Arial" w:hAnsi="Arial" w:cs="Arial"/>
        </w:rPr>
      </w:pPr>
    </w:p>
    <w:p w14:paraId="4A1178DA" w14:textId="77777777" w:rsidR="009C2EF0" w:rsidRPr="009C2EF0" w:rsidRDefault="009C2EF0" w:rsidP="009C2EF0">
      <w:pPr>
        <w:pStyle w:val="Ttulo2"/>
        <w:ind w:left="288"/>
        <w:jc w:val="both"/>
        <w:rPr>
          <w:rFonts w:ascii="Arial" w:hAnsi="Arial" w:cs="Arial"/>
          <w:color w:val="auto"/>
          <w:sz w:val="24"/>
          <w:szCs w:val="24"/>
        </w:rPr>
      </w:pPr>
      <w:r w:rsidRPr="009C2EF0">
        <w:rPr>
          <w:rFonts w:ascii="Arial" w:hAnsi="Arial" w:cs="Arial"/>
          <w:color w:val="auto"/>
          <w:sz w:val="24"/>
          <w:szCs w:val="24"/>
        </w:rPr>
        <w:t>C. Problemas inesperados</w:t>
      </w:r>
    </w:p>
    <w:tbl>
      <w:tblPr>
        <w:tblW w:w="8654" w:type="dxa"/>
        <w:tblInd w:w="108" w:type="dxa"/>
        <w:tblLayout w:type="fixed"/>
        <w:tblLook w:val="0000" w:firstRow="0" w:lastRow="0" w:firstColumn="0" w:lastColumn="0" w:noHBand="0" w:noVBand="0"/>
      </w:tblPr>
      <w:tblGrid>
        <w:gridCol w:w="2250"/>
        <w:gridCol w:w="3704"/>
        <w:gridCol w:w="2700"/>
      </w:tblGrid>
      <w:tr w:rsidR="009C2EF0" w:rsidRPr="009C2EF0" w14:paraId="1EE5166B" w14:textId="77777777" w:rsidTr="00F31F06">
        <w:trPr>
          <w:cantSplit/>
        </w:trPr>
        <w:tc>
          <w:tcPr>
            <w:tcW w:w="2250" w:type="dxa"/>
            <w:tcBorders>
              <w:top w:val="single" w:sz="6" w:space="0" w:color="FFFFFF"/>
              <w:left w:val="single" w:sz="36" w:space="0" w:color="FFFFFF"/>
              <w:bottom w:val="single" w:sz="36" w:space="0" w:color="FFFFFF"/>
              <w:right w:val="single" w:sz="6" w:space="0" w:color="FFFFFF"/>
            </w:tcBorders>
            <w:shd w:val="pct10" w:color="000000" w:fill="FFFFFF"/>
          </w:tcPr>
          <w:p w14:paraId="1B56238E" w14:textId="77777777" w:rsidR="009C2EF0" w:rsidRPr="009C2EF0" w:rsidRDefault="009C2EF0" w:rsidP="00F31F06">
            <w:pPr>
              <w:pStyle w:val="procedurestablestyle"/>
              <w:jc w:val="both"/>
              <w:rPr>
                <w:szCs w:val="24"/>
                <w:lang w:val="es-ES"/>
              </w:rPr>
            </w:pPr>
            <w:r w:rsidRPr="009C2EF0">
              <w:rPr>
                <w:b/>
                <w:szCs w:val="24"/>
                <w:lang w:val="es-ES"/>
              </w:rPr>
              <w:t>Quién</w:t>
            </w:r>
            <w:r w:rsidRPr="009C2EF0">
              <w:rPr>
                <w:szCs w:val="24"/>
                <w:lang w:val="es-ES"/>
              </w:rPr>
              <w:t xml:space="preserve"> </w:t>
            </w:r>
          </w:p>
        </w:tc>
        <w:tc>
          <w:tcPr>
            <w:tcW w:w="3704" w:type="dxa"/>
            <w:tcBorders>
              <w:top w:val="single" w:sz="6" w:space="0" w:color="FFFFFF"/>
              <w:left w:val="single" w:sz="6" w:space="0" w:color="FFFFFF"/>
              <w:bottom w:val="single" w:sz="36" w:space="0" w:color="FFFFFF"/>
              <w:right w:val="single" w:sz="6" w:space="0" w:color="FFFFFF"/>
            </w:tcBorders>
            <w:shd w:val="pct10" w:color="000000" w:fill="FFFFFF"/>
          </w:tcPr>
          <w:p w14:paraId="529EC8B0" w14:textId="77777777" w:rsidR="009C2EF0" w:rsidRPr="009C2EF0" w:rsidRDefault="009C2EF0" w:rsidP="00F31F06">
            <w:pPr>
              <w:pStyle w:val="procedurestablestyle"/>
              <w:jc w:val="both"/>
              <w:rPr>
                <w:szCs w:val="24"/>
                <w:lang w:val="es-ES"/>
              </w:rPr>
            </w:pPr>
            <w:r w:rsidRPr="009C2EF0">
              <w:rPr>
                <w:b/>
                <w:szCs w:val="24"/>
                <w:lang w:val="es-ES"/>
              </w:rPr>
              <w:t>Tarea</w:t>
            </w:r>
          </w:p>
        </w:tc>
        <w:tc>
          <w:tcPr>
            <w:tcW w:w="2700" w:type="dxa"/>
            <w:tcBorders>
              <w:top w:val="single" w:sz="6" w:space="0" w:color="FFFFFF"/>
              <w:left w:val="single" w:sz="6" w:space="0" w:color="FFFFFF"/>
              <w:bottom w:val="single" w:sz="36" w:space="0" w:color="FFFFFF"/>
              <w:right w:val="single" w:sz="36" w:space="0" w:color="FFFFFF"/>
            </w:tcBorders>
            <w:shd w:val="pct10" w:color="000000" w:fill="FFFFFF"/>
          </w:tcPr>
          <w:p w14:paraId="3085FA6E" w14:textId="77777777" w:rsidR="009C2EF0" w:rsidRPr="009C2EF0" w:rsidRDefault="009C2EF0" w:rsidP="00F31F06">
            <w:pPr>
              <w:pStyle w:val="procedurestablestyle"/>
              <w:jc w:val="both"/>
              <w:rPr>
                <w:szCs w:val="24"/>
                <w:lang w:val="es-ES"/>
              </w:rPr>
            </w:pPr>
            <w:r w:rsidRPr="009C2EF0">
              <w:rPr>
                <w:b/>
                <w:szCs w:val="24"/>
                <w:lang w:val="es-ES"/>
              </w:rPr>
              <w:t>Herramienta</w:t>
            </w:r>
          </w:p>
        </w:tc>
      </w:tr>
      <w:tr w:rsidR="009C2EF0" w:rsidRPr="009C2EF0" w14:paraId="6E21F79A" w14:textId="77777777" w:rsidTr="00F31F06">
        <w:tc>
          <w:tcPr>
            <w:tcW w:w="2250" w:type="dxa"/>
            <w:tcBorders>
              <w:top w:val="single" w:sz="36" w:space="0" w:color="FFFFFF"/>
              <w:left w:val="single" w:sz="36" w:space="0" w:color="FFFFFF"/>
              <w:bottom w:val="single" w:sz="6" w:space="0" w:color="FFFFFF"/>
              <w:right w:val="single" w:sz="6" w:space="0" w:color="FFFFFF"/>
            </w:tcBorders>
            <w:shd w:val="pct5" w:color="000000" w:fill="FFFFFF"/>
          </w:tcPr>
          <w:p w14:paraId="5599D326" w14:textId="77777777" w:rsidR="009C2EF0" w:rsidRPr="009C2EF0" w:rsidRDefault="009C2EF0" w:rsidP="00F31F06">
            <w:pPr>
              <w:pStyle w:val="procedurestablestyle"/>
              <w:jc w:val="both"/>
              <w:rPr>
                <w:szCs w:val="24"/>
                <w:lang w:val="es-ES"/>
              </w:rPr>
            </w:pPr>
            <w:r w:rsidRPr="009C2EF0">
              <w:rPr>
                <w:i/>
                <w:szCs w:val="24"/>
                <w:lang w:val="es-ES"/>
              </w:rPr>
              <w:t>Secretaria</w:t>
            </w:r>
          </w:p>
        </w:tc>
        <w:tc>
          <w:tcPr>
            <w:tcW w:w="3704" w:type="dxa"/>
            <w:tcBorders>
              <w:top w:val="single" w:sz="36" w:space="0" w:color="FFFFFF"/>
              <w:left w:val="single" w:sz="6" w:space="0" w:color="FFFFFF"/>
              <w:bottom w:val="single" w:sz="6" w:space="0" w:color="FFFFFF"/>
              <w:right w:val="single" w:sz="6" w:space="0" w:color="FFFFFF"/>
            </w:tcBorders>
            <w:shd w:val="pct5" w:color="000000" w:fill="FFFFFF"/>
          </w:tcPr>
          <w:p w14:paraId="09462F33" w14:textId="2D93DEAC" w:rsidR="009C2EF0" w:rsidRPr="009C2EF0" w:rsidRDefault="009C2EF0" w:rsidP="00F31F06">
            <w:pPr>
              <w:pStyle w:val="procedurestablestyle"/>
              <w:jc w:val="both"/>
              <w:rPr>
                <w:szCs w:val="24"/>
                <w:lang w:val="es-ES"/>
              </w:rPr>
            </w:pPr>
            <w:r w:rsidRPr="009C2EF0">
              <w:rPr>
                <w:szCs w:val="24"/>
                <w:lang w:val="es-ES"/>
              </w:rPr>
              <w:t>Un informe de un problema inesperado se puede r</w:t>
            </w:r>
            <w:r w:rsidR="003C0DB9">
              <w:rPr>
                <w:szCs w:val="24"/>
                <w:lang w:val="es-ES"/>
              </w:rPr>
              <w:t>ecibir vía fax</w:t>
            </w:r>
            <w:r w:rsidRPr="009C2EF0">
              <w:rPr>
                <w:szCs w:val="24"/>
                <w:lang w:val="es-ES"/>
              </w:rPr>
              <w:t>, Internet, o de forma personal, por escrito, en las oficinas de la Subdirección de Investigación.</w:t>
            </w:r>
          </w:p>
          <w:p w14:paraId="648D7B8F" w14:textId="77777777" w:rsidR="009C2EF0" w:rsidRPr="009C2EF0" w:rsidRDefault="009C2EF0" w:rsidP="00F31F06">
            <w:pPr>
              <w:pStyle w:val="procedurestablestyle"/>
              <w:jc w:val="both"/>
              <w:rPr>
                <w:szCs w:val="24"/>
                <w:lang w:val="es-ES"/>
              </w:rPr>
            </w:pPr>
            <w:r w:rsidRPr="009C2EF0">
              <w:rPr>
                <w:szCs w:val="24"/>
                <w:lang w:val="es-ES"/>
              </w:rPr>
              <w:t>Una vez recibido, ponga la fecha actual en la esquina derecha superior del informe.</w:t>
            </w:r>
          </w:p>
          <w:p w14:paraId="3E65B77F" w14:textId="77777777" w:rsidR="009C2EF0" w:rsidRPr="009C2EF0" w:rsidRDefault="009C2EF0" w:rsidP="00F31F06">
            <w:pPr>
              <w:pStyle w:val="procedurestablestyle"/>
              <w:jc w:val="both"/>
              <w:rPr>
                <w:szCs w:val="24"/>
                <w:lang w:val="es-ES"/>
              </w:rPr>
            </w:pPr>
            <w:r w:rsidRPr="009C2EF0">
              <w:rPr>
                <w:szCs w:val="24"/>
                <w:lang w:val="es-ES"/>
              </w:rPr>
              <w:t>Da de alta el problema inesperado en la base de datos apropiada.</w:t>
            </w:r>
          </w:p>
          <w:p w14:paraId="5F3D576E" w14:textId="761547D4" w:rsidR="009C2EF0" w:rsidRPr="009C2EF0" w:rsidRDefault="009C2EF0" w:rsidP="003C0DB9">
            <w:pPr>
              <w:pStyle w:val="procedurestablestyle"/>
              <w:jc w:val="both"/>
              <w:rPr>
                <w:szCs w:val="24"/>
                <w:lang w:val="es-ES"/>
              </w:rPr>
            </w:pPr>
            <w:r w:rsidRPr="009C2EF0">
              <w:rPr>
                <w:szCs w:val="24"/>
                <w:lang w:val="es-ES"/>
              </w:rPr>
              <w:t xml:space="preserve">Reúne toda la información relacionada con el problema y la entrega al </w:t>
            </w:r>
            <w:r w:rsidR="003C0DB9">
              <w:rPr>
                <w:szCs w:val="24"/>
                <w:lang w:val="es-ES"/>
              </w:rPr>
              <w:t xml:space="preserve">Presidente del </w:t>
            </w:r>
            <w:r w:rsidR="003C0DB9">
              <w:rPr>
                <w:szCs w:val="24"/>
                <w:lang w:val="es-ES"/>
              </w:rPr>
              <w:lastRenderedPageBreak/>
              <w:t>Comité</w:t>
            </w:r>
            <w:r w:rsidRPr="009C2EF0">
              <w:rPr>
                <w:szCs w:val="24"/>
                <w:lang w:val="es-ES"/>
              </w:rPr>
              <w:t xml:space="preserve"> para su revisión.</w:t>
            </w:r>
          </w:p>
        </w:tc>
        <w:tc>
          <w:tcPr>
            <w:tcW w:w="2700" w:type="dxa"/>
            <w:tcBorders>
              <w:top w:val="single" w:sz="36" w:space="0" w:color="FFFFFF"/>
              <w:left w:val="single" w:sz="6" w:space="0" w:color="FFFFFF"/>
              <w:bottom w:val="single" w:sz="6" w:space="0" w:color="FFFFFF"/>
              <w:right w:val="single" w:sz="36" w:space="0" w:color="FFFFFF"/>
            </w:tcBorders>
            <w:shd w:val="pct5" w:color="000000" w:fill="FFFFFF"/>
          </w:tcPr>
          <w:p w14:paraId="4F4FFE10" w14:textId="77777777" w:rsidR="009C2EF0" w:rsidRPr="009C2EF0" w:rsidRDefault="009C2EF0" w:rsidP="00F31F06">
            <w:pPr>
              <w:pStyle w:val="procedurestablestyle"/>
              <w:jc w:val="both"/>
              <w:rPr>
                <w:szCs w:val="24"/>
                <w:lang w:val="es-ES"/>
              </w:rPr>
            </w:pPr>
            <w:r w:rsidRPr="009C2EF0">
              <w:rPr>
                <w:szCs w:val="24"/>
                <w:lang w:val="es-ES"/>
              </w:rPr>
              <w:lastRenderedPageBreak/>
              <w:t>CO 601-P: Registro de comunicación</w:t>
            </w:r>
          </w:p>
          <w:p w14:paraId="4AD28341" w14:textId="77777777" w:rsidR="009C2EF0" w:rsidRPr="009C2EF0" w:rsidRDefault="009C2EF0" w:rsidP="00F31F06">
            <w:pPr>
              <w:pStyle w:val="procedurestablestyle"/>
              <w:jc w:val="both"/>
              <w:rPr>
                <w:szCs w:val="24"/>
                <w:lang w:val="es-ES"/>
              </w:rPr>
            </w:pPr>
          </w:p>
          <w:p w14:paraId="09022D7B" w14:textId="77777777" w:rsidR="009C2EF0" w:rsidRPr="009C2EF0" w:rsidRDefault="009C2EF0" w:rsidP="00F31F06">
            <w:pPr>
              <w:pStyle w:val="procedurestablestyle"/>
              <w:jc w:val="both"/>
              <w:rPr>
                <w:szCs w:val="24"/>
                <w:lang w:val="es-ES"/>
              </w:rPr>
            </w:pPr>
          </w:p>
          <w:p w14:paraId="33978B7F" w14:textId="77777777" w:rsidR="009C2EF0" w:rsidRPr="009C2EF0" w:rsidRDefault="009C2EF0" w:rsidP="00F31F06">
            <w:pPr>
              <w:pStyle w:val="procedurestablestyle"/>
              <w:jc w:val="both"/>
              <w:rPr>
                <w:szCs w:val="24"/>
                <w:lang w:val="es-ES"/>
              </w:rPr>
            </w:pPr>
          </w:p>
          <w:p w14:paraId="57CF495F" w14:textId="77777777" w:rsidR="009C2EF0" w:rsidRPr="009C2EF0" w:rsidRDefault="009C2EF0" w:rsidP="00F31F06">
            <w:pPr>
              <w:pStyle w:val="procedurestablestyle"/>
              <w:jc w:val="both"/>
              <w:rPr>
                <w:szCs w:val="24"/>
                <w:lang w:val="es-ES"/>
              </w:rPr>
            </w:pPr>
          </w:p>
          <w:p w14:paraId="463EB13B" w14:textId="77777777" w:rsidR="009C2EF0" w:rsidRPr="009C2EF0" w:rsidRDefault="009C2EF0" w:rsidP="00F31F06">
            <w:pPr>
              <w:pStyle w:val="procedurestablestyle"/>
              <w:jc w:val="both"/>
              <w:rPr>
                <w:szCs w:val="24"/>
                <w:lang w:val="es-ES"/>
              </w:rPr>
            </w:pPr>
          </w:p>
        </w:tc>
      </w:tr>
      <w:tr w:rsidR="009C2EF0" w:rsidRPr="009C2EF0" w14:paraId="537E99E5" w14:textId="77777777" w:rsidTr="00F31F06">
        <w:tc>
          <w:tcPr>
            <w:tcW w:w="2250" w:type="dxa"/>
            <w:tcBorders>
              <w:top w:val="single" w:sz="36" w:space="0" w:color="FFFFFF"/>
              <w:left w:val="single" w:sz="36" w:space="0" w:color="FFFFFF"/>
              <w:bottom w:val="single" w:sz="6" w:space="0" w:color="FFFFFF"/>
              <w:right w:val="single" w:sz="6" w:space="0" w:color="FFFFFF"/>
            </w:tcBorders>
            <w:shd w:val="pct5" w:color="000000" w:fill="FFFFFF"/>
          </w:tcPr>
          <w:p w14:paraId="2824C09D" w14:textId="1AC11806" w:rsidR="009C2EF0" w:rsidRPr="009C2EF0" w:rsidRDefault="003C0DB9" w:rsidP="00F31F06">
            <w:pPr>
              <w:pStyle w:val="procedurestablestyle"/>
              <w:jc w:val="both"/>
              <w:rPr>
                <w:szCs w:val="24"/>
                <w:lang w:val="es-ES"/>
              </w:rPr>
            </w:pPr>
            <w:r>
              <w:rPr>
                <w:i/>
                <w:szCs w:val="24"/>
                <w:lang w:val="es-ES"/>
              </w:rPr>
              <w:lastRenderedPageBreak/>
              <w:t>Secretaria</w:t>
            </w:r>
          </w:p>
        </w:tc>
        <w:tc>
          <w:tcPr>
            <w:tcW w:w="3704" w:type="dxa"/>
            <w:tcBorders>
              <w:top w:val="single" w:sz="36" w:space="0" w:color="FFFFFF"/>
              <w:left w:val="single" w:sz="6" w:space="0" w:color="FFFFFF"/>
              <w:bottom w:val="single" w:sz="6" w:space="0" w:color="FFFFFF"/>
              <w:right w:val="single" w:sz="6" w:space="0" w:color="FFFFFF"/>
            </w:tcBorders>
            <w:shd w:val="pct5" w:color="000000" w:fill="FFFFFF"/>
          </w:tcPr>
          <w:p w14:paraId="24FE0FA5" w14:textId="7420F346" w:rsidR="009C2EF0" w:rsidRPr="009C2EF0" w:rsidRDefault="003C0DB9" w:rsidP="003C0DB9">
            <w:pPr>
              <w:pStyle w:val="procedurestablestyle"/>
              <w:jc w:val="both"/>
              <w:rPr>
                <w:szCs w:val="24"/>
                <w:lang w:val="es-ES"/>
              </w:rPr>
            </w:pPr>
            <w:r>
              <w:rPr>
                <w:szCs w:val="24"/>
                <w:lang w:val="es-ES"/>
              </w:rPr>
              <w:t xml:space="preserve">Entrega </w:t>
            </w:r>
            <w:r w:rsidR="009C2EF0" w:rsidRPr="009C2EF0">
              <w:rPr>
                <w:szCs w:val="24"/>
                <w:lang w:val="es-ES"/>
              </w:rPr>
              <w:t>todos los informes de p</w:t>
            </w:r>
            <w:r>
              <w:rPr>
                <w:szCs w:val="24"/>
                <w:lang w:val="es-ES"/>
              </w:rPr>
              <w:t xml:space="preserve">roblemas inesperados recibidos al Presidente del Comité o en su defecto a la persona que el designe </w:t>
            </w:r>
            <w:r w:rsidR="009C2EF0" w:rsidRPr="009C2EF0">
              <w:rPr>
                <w:szCs w:val="24"/>
                <w:lang w:val="es-ES"/>
              </w:rPr>
              <w:t>para su revisión.</w:t>
            </w:r>
          </w:p>
        </w:tc>
        <w:tc>
          <w:tcPr>
            <w:tcW w:w="2700" w:type="dxa"/>
            <w:tcBorders>
              <w:top w:val="single" w:sz="36" w:space="0" w:color="FFFFFF"/>
              <w:left w:val="single" w:sz="6" w:space="0" w:color="FFFFFF"/>
              <w:bottom w:val="single" w:sz="6" w:space="0" w:color="FFFFFF"/>
              <w:right w:val="single" w:sz="36" w:space="0" w:color="FFFFFF"/>
            </w:tcBorders>
            <w:shd w:val="pct5" w:color="000000" w:fill="FFFFFF"/>
          </w:tcPr>
          <w:p w14:paraId="41AAE0CB" w14:textId="77777777" w:rsidR="009C2EF0" w:rsidRPr="009C2EF0" w:rsidRDefault="009C2EF0" w:rsidP="00F31F06">
            <w:pPr>
              <w:pStyle w:val="procedurestablestyle"/>
              <w:jc w:val="both"/>
              <w:rPr>
                <w:szCs w:val="24"/>
                <w:lang w:val="es-ES"/>
              </w:rPr>
            </w:pPr>
          </w:p>
        </w:tc>
      </w:tr>
      <w:tr w:rsidR="009C2EF0" w:rsidRPr="009C2EF0" w14:paraId="43159A98" w14:textId="77777777" w:rsidTr="0033655E">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14:paraId="3AE2D157" w14:textId="3786759B" w:rsidR="0033655E" w:rsidRDefault="009C2EF0" w:rsidP="00F31F06">
            <w:pPr>
              <w:pStyle w:val="procedurestablestyle"/>
              <w:jc w:val="both"/>
              <w:rPr>
                <w:szCs w:val="24"/>
                <w:lang w:val="es-ES"/>
              </w:rPr>
            </w:pPr>
            <w:r w:rsidRPr="009C2EF0">
              <w:rPr>
                <w:i/>
                <w:szCs w:val="24"/>
                <w:lang w:val="es-ES"/>
              </w:rPr>
              <w:t>Secretaria</w:t>
            </w:r>
          </w:p>
          <w:p w14:paraId="3C5A979F" w14:textId="77777777" w:rsidR="009C2EF0" w:rsidRPr="0033655E" w:rsidRDefault="009C2EF0" w:rsidP="0033655E">
            <w:pPr>
              <w:jc w:val="center"/>
              <w:rPr>
                <w:lang w:eastAsia="en-US"/>
              </w:rPr>
            </w:pPr>
          </w:p>
        </w:tc>
        <w:tc>
          <w:tcPr>
            <w:tcW w:w="3704" w:type="dxa"/>
            <w:tcBorders>
              <w:top w:val="single" w:sz="36" w:space="0" w:color="FFFFFF"/>
              <w:left w:val="single" w:sz="6" w:space="0" w:color="FFFFFF"/>
              <w:bottom w:val="single" w:sz="36" w:space="0" w:color="FFFFFF"/>
              <w:right w:val="single" w:sz="6" w:space="0" w:color="FFFFFF"/>
            </w:tcBorders>
            <w:shd w:val="pct5" w:color="000000" w:fill="FFFFFF"/>
          </w:tcPr>
          <w:p w14:paraId="2A85C6B5" w14:textId="77777777" w:rsidR="009C2EF0" w:rsidRPr="009C2EF0" w:rsidRDefault="009C2EF0" w:rsidP="00F31F06">
            <w:pPr>
              <w:pStyle w:val="procedurestablestyle"/>
              <w:jc w:val="both"/>
              <w:rPr>
                <w:szCs w:val="24"/>
                <w:lang w:val="es-ES"/>
              </w:rPr>
            </w:pPr>
            <w:r w:rsidRPr="009C2EF0">
              <w:rPr>
                <w:szCs w:val="24"/>
                <w:lang w:val="es-ES"/>
              </w:rPr>
              <w:t>Realiza  los resúmenes de todos los problemas inesperados para la siguiente junta.</w:t>
            </w:r>
          </w:p>
        </w:tc>
        <w:tc>
          <w:tcPr>
            <w:tcW w:w="2700" w:type="dxa"/>
            <w:tcBorders>
              <w:top w:val="single" w:sz="36" w:space="0" w:color="FFFFFF"/>
              <w:left w:val="single" w:sz="6" w:space="0" w:color="FFFFFF"/>
              <w:bottom w:val="single" w:sz="36" w:space="0" w:color="FFFFFF"/>
              <w:right w:val="single" w:sz="36" w:space="0" w:color="FFFFFF"/>
            </w:tcBorders>
            <w:shd w:val="pct5" w:color="000000" w:fill="FFFFFF"/>
          </w:tcPr>
          <w:p w14:paraId="6924C7E5" w14:textId="77777777" w:rsidR="009C2EF0" w:rsidRPr="009C2EF0" w:rsidRDefault="009C2EF0" w:rsidP="00F31F06">
            <w:pPr>
              <w:pStyle w:val="procedurestablestyle"/>
              <w:jc w:val="both"/>
              <w:rPr>
                <w:szCs w:val="24"/>
                <w:lang w:val="es-ES"/>
              </w:rPr>
            </w:pPr>
          </w:p>
        </w:tc>
      </w:tr>
      <w:tr w:rsidR="0033655E" w:rsidRPr="009C2EF0" w14:paraId="176D4DDC" w14:textId="77777777" w:rsidTr="0033655E">
        <w:tc>
          <w:tcPr>
            <w:tcW w:w="2250" w:type="dxa"/>
            <w:tcBorders>
              <w:top w:val="single" w:sz="36" w:space="0" w:color="FFFFFF"/>
              <w:left w:val="single" w:sz="36" w:space="0" w:color="FFFFFF"/>
              <w:bottom w:val="single" w:sz="36" w:space="0" w:color="FFFFFF"/>
              <w:right w:val="single" w:sz="6" w:space="0" w:color="FFFFFF"/>
            </w:tcBorders>
            <w:shd w:val="pct5" w:color="000000" w:fill="FFFFFF"/>
          </w:tcPr>
          <w:p w14:paraId="7AC61FE5" w14:textId="31AFD3FF" w:rsidR="0033655E" w:rsidRPr="009C2EF0" w:rsidRDefault="0033655E" w:rsidP="00F31F06">
            <w:pPr>
              <w:pStyle w:val="procedurestablestyle"/>
              <w:jc w:val="both"/>
              <w:rPr>
                <w:i/>
                <w:szCs w:val="24"/>
                <w:lang w:val="es-ES"/>
              </w:rPr>
            </w:pPr>
            <w:r>
              <w:rPr>
                <w:i/>
                <w:szCs w:val="24"/>
                <w:lang w:val="es-ES"/>
              </w:rPr>
              <w:t>Coordinación de control de calidad</w:t>
            </w:r>
          </w:p>
        </w:tc>
        <w:tc>
          <w:tcPr>
            <w:tcW w:w="3704" w:type="dxa"/>
            <w:tcBorders>
              <w:top w:val="single" w:sz="36" w:space="0" w:color="FFFFFF"/>
              <w:left w:val="single" w:sz="6" w:space="0" w:color="FFFFFF"/>
              <w:bottom w:val="single" w:sz="36" w:space="0" w:color="FFFFFF"/>
              <w:right w:val="single" w:sz="6" w:space="0" w:color="FFFFFF"/>
            </w:tcBorders>
            <w:shd w:val="pct5" w:color="000000" w:fill="FFFFFF"/>
          </w:tcPr>
          <w:p w14:paraId="1DC29119" w14:textId="303ABE00" w:rsidR="0033655E" w:rsidRPr="009C2EF0" w:rsidRDefault="0033655E" w:rsidP="00F31F06">
            <w:pPr>
              <w:pStyle w:val="procedurestablestyle"/>
              <w:jc w:val="both"/>
              <w:rPr>
                <w:szCs w:val="24"/>
                <w:lang w:val="es-ES"/>
              </w:rPr>
            </w:pPr>
            <w:r>
              <w:rPr>
                <w:szCs w:val="24"/>
                <w:lang w:val="es-ES"/>
              </w:rPr>
              <w:t>Va a pre-revisar todos los eventos reportados para determinar cuáles eventos no anticipados representan un riesgo para los participantes u otros y deben ser reportados al Presidente del CEI.</w:t>
            </w:r>
          </w:p>
        </w:tc>
        <w:tc>
          <w:tcPr>
            <w:tcW w:w="2700" w:type="dxa"/>
            <w:tcBorders>
              <w:top w:val="single" w:sz="36" w:space="0" w:color="FFFFFF"/>
              <w:left w:val="single" w:sz="6" w:space="0" w:color="FFFFFF"/>
              <w:bottom w:val="single" w:sz="36" w:space="0" w:color="FFFFFF"/>
              <w:right w:val="single" w:sz="36" w:space="0" w:color="FFFFFF"/>
            </w:tcBorders>
            <w:shd w:val="pct5" w:color="000000" w:fill="FFFFFF"/>
          </w:tcPr>
          <w:p w14:paraId="4C453E21" w14:textId="77777777" w:rsidR="0033655E" w:rsidRPr="009C2EF0" w:rsidRDefault="0033655E" w:rsidP="00F31F06">
            <w:pPr>
              <w:pStyle w:val="procedurestablestyle"/>
              <w:jc w:val="both"/>
              <w:rPr>
                <w:szCs w:val="24"/>
                <w:lang w:val="es-ES"/>
              </w:rPr>
            </w:pPr>
          </w:p>
        </w:tc>
      </w:tr>
      <w:tr w:rsidR="0033655E" w:rsidRPr="009C2EF0" w14:paraId="55E982DF" w14:textId="77777777" w:rsidTr="00F31F06">
        <w:tc>
          <w:tcPr>
            <w:tcW w:w="2250" w:type="dxa"/>
            <w:tcBorders>
              <w:top w:val="single" w:sz="36" w:space="0" w:color="FFFFFF"/>
              <w:left w:val="single" w:sz="36" w:space="0" w:color="FFFFFF"/>
              <w:bottom w:val="single" w:sz="6" w:space="0" w:color="FFFFFF"/>
              <w:right w:val="single" w:sz="6" w:space="0" w:color="FFFFFF"/>
            </w:tcBorders>
            <w:shd w:val="pct5" w:color="000000" w:fill="FFFFFF"/>
          </w:tcPr>
          <w:p w14:paraId="61B3D238" w14:textId="54C3B4AA" w:rsidR="0033655E" w:rsidRPr="009C2EF0" w:rsidRDefault="0033655E" w:rsidP="00F31F06">
            <w:pPr>
              <w:pStyle w:val="procedurestablestyle"/>
              <w:jc w:val="both"/>
              <w:rPr>
                <w:i/>
                <w:szCs w:val="24"/>
                <w:lang w:val="es-ES"/>
              </w:rPr>
            </w:pPr>
            <w:r>
              <w:rPr>
                <w:i/>
                <w:szCs w:val="24"/>
                <w:lang w:val="es-ES"/>
              </w:rPr>
              <w:t>Presidente del CEI</w:t>
            </w:r>
          </w:p>
        </w:tc>
        <w:tc>
          <w:tcPr>
            <w:tcW w:w="3704" w:type="dxa"/>
            <w:tcBorders>
              <w:top w:val="single" w:sz="36" w:space="0" w:color="FFFFFF"/>
              <w:left w:val="single" w:sz="6" w:space="0" w:color="FFFFFF"/>
              <w:bottom w:val="single" w:sz="6" w:space="0" w:color="FFFFFF"/>
              <w:right w:val="single" w:sz="6" w:space="0" w:color="FFFFFF"/>
            </w:tcBorders>
            <w:shd w:val="pct5" w:color="000000" w:fill="FFFFFF"/>
          </w:tcPr>
          <w:p w14:paraId="4A948C3B" w14:textId="530E945C" w:rsidR="0033655E" w:rsidRPr="009C2EF0" w:rsidRDefault="0033655E" w:rsidP="0033655E">
            <w:pPr>
              <w:pStyle w:val="procedurestablestyle"/>
              <w:jc w:val="both"/>
              <w:rPr>
                <w:szCs w:val="24"/>
                <w:lang w:val="es-ES"/>
              </w:rPr>
            </w:pPr>
            <w:r>
              <w:rPr>
                <w:szCs w:val="24"/>
                <w:lang w:val="es-ES"/>
              </w:rPr>
              <w:t>Revisará los reportes iniciales junto con la Coordinación de Control de Calidad para determinar cuáles necesitan ser evaluados en el pleno del Comité, determinar las acciones a realizar y reportar cualquier evento inesperado que ponga en peligro a los participantes o a otros al Subdirector de Investigación o cualquier otra agencia reguladora si es necesario, en un periodo no mayor a 30 días.</w:t>
            </w:r>
          </w:p>
        </w:tc>
        <w:tc>
          <w:tcPr>
            <w:tcW w:w="2700" w:type="dxa"/>
            <w:tcBorders>
              <w:top w:val="single" w:sz="36" w:space="0" w:color="FFFFFF"/>
              <w:left w:val="single" w:sz="6" w:space="0" w:color="FFFFFF"/>
              <w:bottom w:val="single" w:sz="6" w:space="0" w:color="FFFFFF"/>
              <w:right w:val="single" w:sz="36" w:space="0" w:color="FFFFFF"/>
            </w:tcBorders>
            <w:shd w:val="pct5" w:color="000000" w:fill="FFFFFF"/>
          </w:tcPr>
          <w:p w14:paraId="3FD47DC3" w14:textId="77777777" w:rsidR="0033655E" w:rsidRPr="009C2EF0" w:rsidRDefault="0033655E" w:rsidP="00F31F06">
            <w:pPr>
              <w:pStyle w:val="procedurestablestyle"/>
              <w:jc w:val="both"/>
              <w:rPr>
                <w:szCs w:val="24"/>
                <w:lang w:val="es-ES"/>
              </w:rPr>
            </w:pPr>
          </w:p>
        </w:tc>
      </w:tr>
    </w:tbl>
    <w:p w14:paraId="2ED8A378" w14:textId="77777777" w:rsidR="009C2EF0" w:rsidRPr="009C2EF0" w:rsidRDefault="009C2EF0" w:rsidP="009C2EF0">
      <w:pPr>
        <w:pStyle w:val="Ttulo2"/>
        <w:ind w:left="288"/>
        <w:jc w:val="both"/>
        <w:rPr>
          <w:rFonts w:ascii="Arial" w:hAnsi="Arial" w:cs="Arial"/>
          <w:color w:val="auto"/>
          <w:sz w:val="24"/>
          <w:szCs w:val="24"/>
        </w:rPr>
      </w:pPr>
    </w:p>
    <w:p w14:paraId="4803FBCC" w14:textId="77777777" w:rsidR="009C2EF0" w:rsidRPr="009C2EF0" w:rsidRDefault="009C2EF0" w:rsidP="009C2EF0">
      <w:pPr>
        <w:pStyle w:val="Ttulo2"/>
        <w:ind w:left="288"/>
        <w:jc w:val="both"/>
        <w:rPr>
          <w:rFonts w:ascii="Arial" w:hAnsi="Arial" w:cs="Arial"/>
          <w:color w:val="auto"/>
          <w:sz w:val="24"/>
          <w:szCs w:val="24"/>
        </w:rPr>
      </w:pPr>
      <w:r w:rsidRPr="009C2EF0">
        <w:rPr>
          <w:rFonts w:ascii="Arial" w:hAnsi="Arial" w:cs="Arial"/>
          <w:color w:val="auto"/>
          <w:sz w:val="24"/>
          <w:szCs w:val="24"/>
        </w:rPr>
        <w:t>D. Enmiendas</w:t>
      </w:r>
    </w:p>
    <w:tbl>
      <w:tblPr>
        <w:tblW w:w="8654" w:type="dxa"/>
        <w:tblInd w:w="108" w:type="dxa"/>
        <w:tblLayout w:type="fixed"/>
        <w:tblLook w:val="0000" w:firstRow="0" w:lastRow="0" w:firstColumn="0" w:lastColumn="0" w:noHBand="0" w:noVBand="0"/>
      </w:tblPr>
      <w:tblGrid>
        <w:gridCol w:w="2250"/>
        <w:gridCol w:w="3704"/>
        <w:gridCol w:w="2700"/>
      </w:tblGrid>
      <w:tr w:rsidR="009C2EF0" w:rsidRPr="009C2EF0" w14:paraId="7A885A66" w14:textId="77777777" w:rsidTr="00F31F06">
        <w:trPr>
          <w:cantSplit/>
        </w:trPr>
        <w:tc>
          <w:tcPr>
            <w:tcW w:w="2250" w:type="dxa"/>
            <w:tcBorders>
              <w:top w:val="single" w:sz="6" w:space="0" w:color="FFFFFF"/>
              <w:left w:val="single" w:sz="36" w:space="0" w:color="FFFFFF"/>
              <w:bottom w:val="single" w:sz="36" w:space="0" w:color="FFFFFF"/>
              <w:right w:val="single" w:sz="6" w:space="0" w:color="FFFFFF"/>
            </w:tcBorders>
            <w:shd w:val="pct10" w:color="000000" w:fill="FFFFFF"/>
          </w:tcPr>
          <w:p w14:paraId="5BDFACB4" w14:textId="77777777" w:rsidR="009C2EF0" w:rsidRPr="009C2EF0" w:rsidRDefault="009C2EF0" w:rsidP="00F31F06">
            <w:pPr>
              <w:pStyle w:val="procedurestablestyle"/>
              <w:jc w:val="both"/>
              <w:rPr>
                <w:szCs w:val="24"/>
                <w:lang w:val="es-ES"/>
              </w:rPr>
            </w:pPr>
            <w:r w:rsidRPr="009C2EF0">
              <w:rPr>
                <w:b/>
                <w:szCs w:val="24"/>
                <w:lang w:val="es-ES"/>
              </w:rPr>
              <w:t>Quién</w:t>
            </w:r>
            <w:r w:rsidRPr="009C2EF0">
              <w:rPr>
                <w:szCs w:val="24"/>
                <w:lang w:val="es-ES"/>
              </w:rPr>
              <w:t xml:space="preserve"> </w:t>
            </w:r>
          </w:p>
        </w:tc>
        <w:tc>
          <w:tcPr>
            <w:tcW w:w="3704" w:type="dxa"/>
            <w:tcBorders>
              <w:top w:val="single" w:sz="6" w:space="0" w:color="FFFFFF"/>
              <w:left w:val="single" w:sz="6" w:space="0" w:color="FFFFFF"/>
              <w:bottom w:val="single" w:sz="36" w:space="0" w:color="FFFFFF"/>
              <w:right w:val="single" w:sz="6" w:space="0" w:color="FFFFFF"/>
            </w:tcBorders>
            <w:shd w:val="pct10" w:color="000000" w:fill="FFFFFF"/>
          </w:tcPr>
          <w:p w14:paraId="2EF16F4D" w14:textId="77777777" w:rsidR="009C2EF0" w:rsidRPr="009C2EF0" w:rsidRDefault="009C2EF0" w:rsidP="00F31F06">
            <w:pPr>
              <w:pStyle w:val="procedurestablestyle"/>
              <w:jc w:val="both"/>
              <w:rPr>
                <w:szCs w:val="24"/>
                <w:lang w:val="es-ES"/>
              </w:rPr>
            </w:pPr>
            <w:r w:rsidRPr="009C2EF0">
              <w:rPr>
                <w:b/>
                <w:szCs w:val="24"/>
                <w:lang w:val="es-ES"/>
              </w:rPr>
              <w:t>Tarea</w:t>
            </w:r>
          </w:p>
        </w:tc>
        <w:tc>
          <w:tcPr>
            <w:tcW w:w="2700" w:type="dxa"/>
            <w:tcBorders>
              <w:top w:val="single" w:sz="6" w:space="0" w:color="FFFFFF"/>
              <w:left w:val="single" w:sz="6" w:space="0" w:color="FFFFFF"/>
              <w:bottom w:val="single" w:sz="36" w:space="0" w:color="FFFFFF"/>
              <w:right w:val="single" w:sz="36" w:space="0" w:color="FFFFFF"/>
            </w:tcBorders>
            <w:shd w:val="pct10" w:color="000000" w:fill="FFFFFF"/>
          </w:tcPr>
          <w:p w14:paraId="7F47A4C0" w14:textId="77777777" w:rsidR="009C2EF0" w:rsidRPr="009C2EF0" w:rsidRDefault="009C2EF0" w:rsidP="00F31F06">
            <w:pPr>
              <w:pStyle w:val="procedurestablestyle"/>
              <w:jc w:val="both"/>
              <w:rPr>
                <w:szCs w:val="24"/>
                <w:lang w:val="es-ES"/>
              </w:rPr>
            </w:pPr>
            <w:r w:rsidRPr="009C2EF0">
              <w:rPr>
                <w:b/>
                <w:szCs w:val="24"/>
                <w:lang w:val="es-ES"/>
              </w:rPr>
              <w:t>Herramienta</w:t>
            </w:r>
          </w:p>
        </w:tc>
      </w:tr>
      <w:tr w:rsidR="009C2EF0" w:rsidRPr="009C2EF0" w14:paraId="33D706BE" w14:textId="77777777" w:rsidTr="00F31F06">
        <w:tc>
          <w:tcPr>
            <w:tcW w:w="2250" w:type="dxa"/>
            <w:tcBorders>
              <w:top w:val="single" w:sz="36" w:space="0" w:color="FFFFFF"/>
              <w:left w:val="single" w:sz="36" w:space="0" w:color="FFFFFF"/>
              <w:bottom w:val="single" w:sz="6" w:space="0" w:color="FFFFFF"/>
              <w:right w:val="single" w:sz="6" w:space="0" w:color="FFFFFF"/>
            </w:tcBorders>
            <w:shd w:val="pct5" w:color="000000" w:fill="FFFFFF"/>
          </w:tcPr>
          <w:p w14:paraId="5C00F69C" w14:textId="77777777" w:rsidR="009C2EF0" w:rsidRPr="009C2EF0" w:rsidRDefault="009C2EF0" w:rsidP="00F31F06">
            <w:pPr>
              <w:pStyle w:val="procedurestablestyle"/>
              <w:jc w:val="both"/>
              <w:rPr>
                <w:szCs w:val="24"/>
                <w:lang w:val="es-ES"/>
              </w:rPr>
            </w:pPr>
            <w:r w:rsidRPr="009C2EF0">
              <w:rPr>
                <w:i/>
                <w:szCs w:val="24"/>
                <w:lang w:val="es-ES"/>
              </w:rPr>
              <w:t>Secretaria</w:t>
            </w:r>
          </w:p>
        </w:tc>
        <w:tc>
          <w:tcPr>
            <w:tcW w:w="3704" w:type="dxa"/>
            <w:tcBorders>
              <w:top w:val="single" w:sz="36" w:space="0" w:color="FFFFFF"/>
              <w:left w:val="single" w:sz="6" w:space="0" w:color="FFFFFF"/>
              <w:bottom w:val="single" w:sz="6" w:space="0" w:color="FFFFFF"/>
              <w:right w:val="single" w:sz="6" w:space="0" w:color="FFFFFF"/>
            </w:tcBorders>
            <w:shd w:val="pct5" w:color="000000" w:fill="FFFFFF"/>
          </w:tcPr>
          <w:p w14:paraId="2C01ACBE" w14:textId="1FF10559" w:rsidR="009C2EF0" w:rsidRPr="009C2EF0" w:rsidRDefault="009C2EF0" w:rsidP="00F31F06">
            <w:pPr>
              <w:pStyle w:val="procedurestablestyle"/>
              <w:jc w:val="both"/>
              <w:rPr>
                <w:szCs w:val="24"/>
                <w:lang w:val="es-ES"/>
              </w:rPr>
            </w:pPr>
            <w:r w:rsidRPr="009C2EF0">
              <w:rPr>
                <w:szCs w:val="24"/>
                <w:lang w:val="es-ES"/>
              </w:rPr>
              <w:t xml:space="preserve">Una enmienda o un cambio en </w:t>
            </w:r>
            <w:r w:rsidRPr="009C2EF0">
              <w:rPr>
                <w:szCs w:val="24"/>
                <w:lang w:val="es-ES"/>
              </w:rPr>
              <w:lastRenderedPageBreak/>
              <w:t>la investig</w:t>
            </w:r>
            <w:r w:rsidR="003C0DB9">
              <w:rPr>
                <w:szCs w:val="24"/>
                <w:lang w:val="es-ES"/>
              </w:rPr>
              <w:t>ación se puede recibir vía fax</w:t>
            </w:r>
            <w:r w:rsidRPr="009C2EF0">
              <w:rPr>
                <w:szCs w:val="24"/>
                <w:lang w:val="es-ES"/>
              </w:rPr>
              <w:t>, Internet, o de forma personal en por escrito, en las oficinas de la Subdirección de Investigación.</w:t>
            </w:r>
          </w:p>
          <w:p w14:paraId="574CC858" w14:textId="77777777" w:rsidR="009C2EF0" w:rsidRPr="009C2EF0" w:rsidRDefault="009C2EF0" w:rsidP="00F31F06">
            <w:pPr>
              <w:pStyle w:val="procedurestablestyle"/>
              <w:jc w:val="both"/>
              <w:rPr>
                <w:szCs w:val="24"/>
                <w:lang w:val="es-ES"/>
              </w:rPr>
            </w:pPr>
            <w:r w:rsidRPr="009C2EF0">
              <w:rPr>
                <w:szCs w:val="24"/>
                <w:lang w:val="es-ES"/>
              </w:rPr>
              <w:t>Una vez recibido, pone la fecha actual en la esquina derecha superior del informe.</w:t>
            </w:r>
          </w:p>
          <w:p w14:paraId="37AEB136" w14:textId="77777777" w:rsidR="009C2EF0" w:rsidRPr="009C2EF0" w:rsidRDefault="009C2EF0" w:rsidP="00F31F06">
            <w:pPr>
              <w:pStyle w:val="procedurestablestyle"/>
              <w:jc w:val="both"/>
              <w:rPr>
                <w:szCs w:val="24"/>
                <w:lang w:val="es-ES"/>
              </w:rPr>
            </w:pPr>
            <w:r w:rsidRPr="009C2EF0">
              <w:rPr>
                <w:szCs w:val="24"/>
                <w:lang w:val="es-ES"/>
              </w:rPr>
              <w:t>Da de alta  la información sobre la enmienda en la base de datos apropiada.</w:t>
            </w:r>
          </w:p>
          <w:p w14:paraId="43D124E8" w14:textId="77777777" w:rsidR="009C2EF0" w:rsidRPr="009C2EF0" w:rsidRDefault="009C2EF0" w:rsidP="00F31F06">
            <w:pPr>
              <w:pStyle w:val="procedurestablestyle"/>
              <w:jc w:val="both"/>
              <w:rPr>
                <w:szCs w:val="24"/>
                <w:lang w:val="es-ES"/>
              </w:rPr>
            </w:pPr>
            <w:r w:rsidRPr="009C2EF0">
              <w:rPr>
                <w:szCs w:val="24"/>
                <w:lang w:val="es-ES"/>
              </w:rPr>
              <w:t>Envía un comunicado de la recepción de la enmienda al investigador.</w:t>
            </w:r>
          </w:p>
          <w:p w14:paraId="4981AC47" w14:textId="44D26FD4" w:rsidR="009C2EF0" w:rsidRPr="009C2EF0" w:rsidRDefault="009C2EF0" w:rsidP="003C0DB9">
            <w:pPr>
              <w:pStyle w:val="procedurestablestyle"/>
              <w:jc w:val="both"/>
              <w:rPr>
                <w:szCs w:val="24"/>
                <w:lang w:val="es-ES"/>
              </w:rPr>
            </w:pPr>
            <w:r w:rsidRPr="009C2EF0">
              <w:rPr>
                <w:szCs w:val="24"/>
                <w:lang w:val="es-ES"/>
              </w:rPr>
              <w:t xml:space="preserve">Reúne  toda la información relacionada con la enmienda,  al archivo del estudio y la entrega  al </w:t>
            </w:r>
            <w:r w:rsidR="003C0DB9">
              <w:rPr>
                <w:szCs w:val="24"/>
                <w:lang w:val="es-ES"/>
              </w:rPr>
              <w:t>Presidente del Comité o a la persona que el designe</w:t>
            </w:r>
            <w:r w:rsidRPr="009C2EF0">
              <w:rPr>
                <w:szCs w:val="24"/>
                <w:lang w:val="es-ES"/>
              </w:rPr>
              <w:t xml:space="preserve"> para la revisión inicial.</w:t>
            </w:r>
          </w:p>
        </w:tc>
        <w:tc>
          <w:tcPr>
            <w:tcW w:w="2700" w:type="dxa"/>
            <w:tcBorders>
              <w:top w:val="single" w:sz="36" w:space="0" w:color="FFFFFF"/>
              <w:left w:val="single" w:sz="6" w:space="0" w:color="FFFFFF"/>
              <w:bottom w:val="single" w:sz="6" w:space="0" w:color="FFFFFF"/>
              <w:right w:val="single" w:sz="36" w:space="0" w:color="FFFFFF"/>
            </w:tcBorders>
            <w:shd w:val="pct5" w:color="000000" w:fill="FFFFFF"/>
          </w:tcPr>
          <w:p w14:paraId="0EBAEB06" w14:textId="77777777" w:rsidR="009C2EF0" w:rsidRPr="009C2EF0" w:rsidRDefault="009C2EF0" w:rsidP="00F31F06">
            <w:pPr>
              <w:pStyle w:val="procedurestablestyle"/>
              <w:jc w:val="both"/>
              <w:rPr>
                <w:szCs w:val="24"/>
                <w:lang w:val="es-ES"/>
              </w:rPr>
            </w:pPr>
            <w:r w:rsidRPr="009C2EF0">
              <w:rPr>
                <w:szCs w:val="24"/>
                <w:lang w:val="es-ES"/>
              </w:rPr>
              <w:lastRenderedPageBreak/>
              <w:t xml:space="preserve">Forma de el </w:t>
            </w:r>
            <w:r w:rsidRPr="009C2EF0">
              <w:rPr>
                <w:szCs w:val="24"/>
                <w:lang w:val="es-ES"/>
              </w:rPr>
              <w:lastRenderedPageBreak/>
              <w:t>sometimiento de la enmienda</w:t>
            </w:r>
          </w:p>
        </w:tc>
      </w:tr>
      <w:tr w:rsidR="009C2EF0" w:rsidRPr="009C2EF0" w14:paraId="77FF1139" w14:textId="77777777" w:rsidTr="00F31F06">
        <w:trPr>
          <w:trHeight w:val="200"/>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14:paraId="5B2A7E63" w14:textId="328C6D11" w:rsidR="009C2EF0" w:rsidRPr="009C2EF0" w:rsidRDefault="003C0DB9" w:rsidP="00F31F06">
            <w:pPr>
              <w:pStyle w:val="procedurestablestyle"/>
              <w:jc w:val="both"/>
              <w:rPr>
                <w:szCs w:val="24"/>
                <w:lang w:val="es-ES"/>
              </w:rPr>
            </w:pPr>
            <w:r>
              <w:rPr>
                <w:i/>
                <w:szCs w:val="24"/>
                <w:lang w:val="es-ES"/>
              </w:rPr>
              <w:lastRenderedPageBreak/>
              <w:t>Coordinador de la Secretaria de Investigación Clínica</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14:paraId="083F943A" w14:textId="1450282A" w:rsidR="009C2EF0" w:rsidRPr="009C2EF0" w:rsidRDefault="009C2EF0" w:rsidP="003C0DB9">
            <w:pPr>
              <w:pStyle w:val="procedurestablestyle"/>
              <w:jc w:val="both"/>
              <w:rPr>
                <w:szCs w:val="24"/>
                <w:lang w:val="es-ES"/>
              </w:rPr>
            </w:pPr>
            <w:r w:rsidRPr="009C2EF0">
              <w:rPr>
                <w:szCs w:val="24"/>
                <w:lang w:val="es-ES"/>
              </w:rPr>
              <w:t xml:space="preserve">Revisa  todos los informes de eventos adversos inesperados recibidos. Los clasifica  para determinar cuál se puede revisar de forma expedita, cual se debe revisar inmediatamente por el presidente, y cuál debe ser colocado en la agenda para la siguiente junta, y darlo al presidente del </w:t>
            </w:r>
            <w:r w:rsidR="003C0DB9">
              <w:rPr>
                <w:szCs w:val="24"/>
                <w:lang w:val="es-ES"/>
              </w:rPr>
              <w:t xml:space="preserve">Comité </w:t>
            </w:r>
            <w:r w:rsidRPr="009C2EF0">
              <w:rPr>
                <w:szCs w:val="24"/>
                <w:lang w:val="es-ES"/>
              </w:rPr>
              <w:t>para su revisión.</w:t>
            </w:r>
          </w:p>
        </w:tc>
        <w:tc>
          <w:tcPr>
            <w:tcW w:w="2700" w:type="dxa"/>
            <w:tcBorders>
              <w:top w:val="single" w:sz="6" w:space="0" w:color="FFFFFF"/>
              <w:left w:val="single" w:sz="6" w:space="0" w:color="FFFFFF"/>
              <w:bottom w:val="single" w:sz="6" w:space="0" w:color="FFFFFF"/>
              <w:right w:val="single" w:sz="36" w:space="0" w:color="FFFFFF"/>
            </w:tcBorders>
            <w:shd w:val="pct5" w:color="000000" w:fill="FFFFFF"/>
          </w:tcPr>
          <w:p w14:paraId="0A263D01" w14:textId="77777777" w:rsidR="009C2EF0" w:rsidRPr="009C2EF0" w:rsidRDefault="009C2EF0" w:rsidP="00F31F06">
            <w:pPr>
              <w:pStyle w:val="procedurestablestyle"/>
              <w:jc w:val="both"/>
              <w:rPr>
                <w:szCs w:val="24"/>
                <w:lang w:val="es-ES"/>
              </w:rPr>
            </w:pPr>
          </w:p>
        </w:tc>
      </w:tr>
      <w:tr w:rsidR="009C2EF0" w:rsidRPr="009C2EF0" w14:paraId="75387BDA" w14:textId="77777777" w:rsidTr="00F31F06">
        <w:trPr>
          <w:cantSplit/>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14:paraId="0F44AAF3" w14:textId="77777777" w:rsidR="009C2EF0" w:rsidRPr="009C2EF0" w:rsidRDefault="009C2EF0" w:rsidP="00F31F06">
            <w:pPr>
              <w:pStyle w:val="procedurestablestyle"/>
              <w:jc w:val="both"/>
              <w:rPr>
                <w:szCs w:val="24"/>
                <w:lang w:val="es-ES"/>
              </w:rPr>
            </w:pPr>
            <w:r w:rsidRPr="009C2EF0">
              <w:rPr>
                <w:i/>
                <w:szCs w:val="24"/>
                <w:lang w:val="es-MX"/>
              </w:rPr>
              <w:t>Secretaria</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14:paraId="585EEDD7" w14:textId="3C3D6054" w:rsidR="009C2EF0" w:rsidRPr="009C2EF0" w:rsidRDefault="009C2EF0" w:rsidP="003C0DB9">
            <w:pPr>
              <w:pStyle w:val="procedurestablestyle"/>
              <w:jc w:val="both"/>
              <w:rPr>
                <w:szCs w:val="24"/>
                <w:lang w:val="es-ES"/>
              </w:rPr>
            </w:pPr>
            <w:r w:rsidRPr="009C2EF0">
              <w:rPr>
                <w:szCs w:val="24"/>
                <w:lang w:val="es-ES"/>
              </w:rPr>
              <w:t xml:space="preserve">Completa el proceso siguiendo las instrucciones del </w:t>
            </w:r>
            <w:r w:rsidR="003C0DB9">
              <w:rPr>
                <w:szCs w:val="24"/>
                <w:lang w:val="es-ES"/>
              </w:rPr>
              <w:t>Presidente o por la persona asignada por el</w:t>
            </w:r>
            <w:r w:rsidRPr="009C2EF0">
              <w:rPr>
                <w:szCs w:val="24"/>
                <w:lang w:val="es-ES"/>
              </w:rPr>
              <w:t>.</w:t>
            </w:r>
          </w:p>
        </w:tc>
        <w:tc>
          <w:tcPr>
            <w:tcW w:w="2700" w:type="dxa"/>
            <w:tcBorders>
              <w:top w:val="single" w:sz="6" w:space="0" w:color="FFFFFF"/>
              <w:left w:val="single" w:sz="6" w:space="0" w:color="FFFFFF"/>
              <w:bottom w:val="single" w:sz="6" w:space="0" w:color="FFFFFF"/>
              <w:right w:val="single" w:sz="36" w:space="0" w:color="FFFFFF"/>
            </w:tcBorders>
            <w:shd w:val="pct5" w:color="000000" w:fill="FFFFFF"/>
          </w:tcPr>
          <w:p w14:paraId="4CD72879" w14:textId="77777777" w:rsidR="009C2EF0" w:rsidRPr="009C2EF0" w:rsidRDefault="009C2EF0" w:rsidP="00F31F06">
            <w:pPr>
              <w:pStyle w:val="procedurestablestyle"/>
              <w:jc w:val="both"/>
              <w:rPr>
                <w:szCs w:val="24"/>
                <w:lang w:val="es-ES"/>
              </w:rPr>
            </w:pPr>
          </w:p>
        </w:tc>
      </w:tr>
    </w:tbl>
    <w:p w14:paraId="12F4487E" w14:textId="77777777" w:rsidR="009C2EF0" w:rsidRPr="009C2EF0" w:rsidRDefault="009C2EF0" w:rsidP="009C2EF0">
      <w:pPr>
        <w:pStyle w:val="Ttulo2"/>
        <w:ind w:left="288"/>
        <w:jc w:val="both"/>
        <w:rPr>
          <w:rFonts w:ascii="Arial" w:hAnsi="Arial" w:cs="Arial"/>
          <w:color w:val="auto"/>
          <w:sz w:val="24"/>
          <w:szCs w:val="24"/>
        </w:rPr>
      </w:pPr>
    </w:p>
    <w:p w14:paraId="408DCBA3" w14:textId="77777777" w:rsidR="009C2EF0" w:rsidRPr="009C2EF0" w:rsidRDefault="009C2EF0" w:rsidP="009C2EF0">
      <w:pPr>
        <w:pStyle w:val="Ttulo2"/>
        <w:ind w:left="288"/>
        <w:jc w:val="both"/>
        <w:rPr>
          <w:rFonts w:ascii="Arial" w:hAnsi="Arial" w:cs="Arial"/>
          <w:color w:val="auto"/>
          <w:sz w:val="24"/>
          <w:szCs w:val="24"/>
        </w:rPr>
      </w:pPr>
      <w:r w:rsidRPr="009C2EF0">
        <w:rPr>
          <w:rFonts w:ascii="Arial" w:hAnsi="Arial" w:cs="Arial"/>
          <w:color w:val="auto"/>
          <w:sz w:val="24"/>
          <w:szCs w:val="24"/>
        </w:rPr>
        <w:t>E. Informes de Incumplimiento</w:t>
      </w:r>
    </w:p>
    <w:tbl>
      <w:tblPr>
        <w:tblW w:w="8654" w:type="dxa"/>
        <w:tblInd w:w="108" w:type="dxa"/>
        <w:tblLayout w:type="fixed"/>
        <w:tblLook w:val="0000" w:firstRow="0" w:lastRow="0" w:firstColumn="0" w:lastColumn="0" w:noHBand="0" w:noVBand="0"/>
      </w:tblPr>
      <w:tblGrid>
        <w:gridCol w:w="2250"/>
        <w:gridCol w:w="3704"/>
        <w:gridCol w:w="2700"/>
      </w:tblGrid>
      <w:tr w:rsidR="009C2EF0" w:rsidRPr="009C2EF0" w14:paraId="1BD216CC" w14:textId="77777777" w:rsidTr="00F31F06">
        <w:trPr>
          <w:cantSplit/>
        </w:trPr>
        <w:tc>
          <w:tcPr>
            <w:tcW w:w="2250" w:type="dxa"/>
            <w:tcBorders>
              <w:top w:val="single" w:sz="6" w:space="0" w:color="FFFFFF"/>
              <w:left w:val="single" w:sz="36" w:space="0" w:color="FFFFFF"/>
              <w:bottom w:val="single" w:sz="36" w:space="0" w:color="FFFFFF"/>
              <w:right w:val="single" w:sz="6" w:space="0" w:color="FFFFFF"/>
            </w:tcBorders>
            <w:shd w:val="pct10" w:color="000000" w:fill="FFFFFF"/>
          </w:tcPr>
          <w:p w14:paraId="1AC9F918" w14:textId="77777777" w:rsidR="009C2EF0" w:rsidRPr="009C2EF0" w:rsidRDefault="009C2EF0" w:rsidP="00F31F06">
            <w:pPr>
              <w:pStyle w:val="procedurestablestyle"/>
              <w:jc w:val="both"/>
              <w:rPr>
                <w:szCs w:val="24"/>
                <w:lang w:val="es-ES"/>
              </w:rPr>
            </w:pPr>
            <w:r w:rsidRPr="009C2EF0">
              <w:rPr>
                <w:b/>
                <w:szCs w:val="24"/>
                <w:lang w:val="es-ES"/>
              </w:rPr>
              <w:t>Quién</w:t>
            </w:r>
            <w:r w:rsidRPr="009C2EF0">
              <w:rPr>
                <w:szCs w:val="24"/>
                <w:lang w:val="es-ES"/>
              </w:rPr>
              <w:t xml:space="preserve"> </w:t>
            </w:r>
          </w:p>
        </w:tc>
        <w:tc>
          <w:tcPr>
            <w:tcW w:w="3704" w:type="dxa"/>
            <w:tcBorders>
              <w:top w:val="single" w:sz="6" w:space="0" w:color="FFFFFF"/>
              <w:left w:val="single" w:sz="6" w:space="0" w:color="FFFFFF"/>
              <w:bottom w:val="single" w:sz="36" w:space="0" w:color="FFFFFF"/>
              <w:right w:val="single" w:sz="6" w:space="0" w:color="FFFFFF"/>
            </w:tcBorders>
            <w:shd w:val="pct10" w:color="000000" w:fill="FFFFFF"/>
          </w:tcPr>
          <w:p w14:paraId="5165CF21" w14:textId="77777777" w:rsidR="009C2EF0" w:rsidRPr="009C2EF0" w:rsidRDefault="009C2EF0" w:rsidP="00F31F06">
            <w:pPr>
              <w:pStyle w:val="procedurestablestyle"/>
              <w:jc w:val="both"/>
              <w:rPr>
                <w:szCs w:val="24"/>
                <w:lang w:val="es-ES"/>
              </w:rPr>
            </w:pPr>
            <w:r w:rsidRPr="009C2EF0">
              <w:rPr>
                <w:b/>
                <w:szCs w:val="24"/>
                <w:lang w:val="es-ES"/>
              </w:rPr>
              <w:t>Tarea</w:t>
            </w:r>
          </w:p>
        </w:tc>
        <w:tc>
          <w:tcPr>
            <w:tcW w:w="2700" w:type="dxa"/>
            <w:tcBorders>
              <w:top w:val="single" w:sz="6" w:space="0" w:color="FFFFFF"/>
              <w:left w:val="single" w:sz="6" w:space="0" w:color="FFFFFF"/>
              <w:bottom w:val="single" w:sz="36" w:space="0" w:color="FFFFFF"/>
              <w:right w:val="single" w:sz="36" w:space="0" w:color="FFFFFF"/>
            </w:tcBorders>
            <w:shd w:val="pct10" w:color="000000" w:fill="FFFFFF"/>
          </w:tcPr>
          <w:p w14:paraId="49C814C8" w14:textId="77777777" w:rsidR="009C2EF0" w:rsidRPr="009C2EF0" w:rsidRDefault="009C2EF0" w:rsidP="00F31F06">
            <w:pPr>
              <w:pStyle w:val="procedurestablestyle"/>
              <w:jc w:val="both"/>
              <w:rPr>
                <w:szCs w:val="24"/>
                <w:lang w:val="es-ES"/>
              </w:rPr>
            </w:pPr>
            <w:r w:rsidRPr="009C2EF0">
              <w:rPr>
                <w:b/>
                <w:szCs w:val="24"/>
                <w:lang w:val="es-ES"/>
              </w:rPr>
              <w:t>Herramienta</w:t>
            </w:r>
          </w:p>
        </w:tc>
      </w:tr>
      <w:tr w:rsidR="009C2EF0" w:rsidRPr="009C2EF0" w14:paraId="6F77A26A" w14:textId="77777777" w:rsidTr="00F31F06">
        <w:tc>
          <w:tcPr>
            <w:tcW w:w="2250" w:type="dxa"/>
            <w:tcBorders>
              <w:top w:val="single" w:sz="36" w:space="0" w:color="FFFFFF"/>
              <w:left w:val="single" w:sz="36" w:space="0" w:color="FFFFFF"/>
              <w:bottom w:val="single" w:sz="6" w:space="0" w:color="FFFFFF"/>
              <w:right w:val="single" w:sz="6" w:space="0" w:color="FFFFFF"/>
            </w:tcBorders>
            <w:shd w:val="pct5" w:color="000000" w:fill="FFFFFF"/>
          </w:tcPr>
          <w:p w14:paraId="65C1574A" w14:textId="77777777" w:rsidR="009C2EF0" w:rsidRPr="009C2EF0" w:rsidRDefault="009C2EF0" w:rsidP="00F31F06">
            <w:pPr>
              <w:pStyle w:val="procedurestablestyle"/>
              <w:jc w:val="both"/>
              <w:rPr>
                <w:szCs w:val="24"/>
                <w:lang w:val="es-ES"/>
              </w:rPr>
            </w:pPr>
            <w:r w:rsidRPr="009C2EF0">
              <w:rPr>
                <w:i/>
                <w:szCs w:val="24"/>
                <w:lang w:val="es-ES"/>
              </w:rPr>
              <w:t>Secretaria</w:t>
            </w:r>
          </w:p>
        </w:tc>
        <w:tc>
          <w:tcPr>
            <w:tcW w:w="3704" w:type="dxa"/>
            <w:tcBorders>
              <w:top w:val="single" w:sz="36" w:space="0" w:color="FFFFFF"/>
              <w:left w:val="single" w:sz="6" w:space="0" w:color="FFFFFF"/>
              <w:bottom w:val="single" w:sz="6" w:space="0" w:color="FFFFFF"/>
              <w:right w:val="single" w:sz="6" w:space="0" w:color="FFFFFF"/>
            </w:tcBorders>
            <w:shd w:val="pct5" w:color="000000" w:fill="FFFFFF"/>
          </w:tcPr>
          <w:p w14:paraId="453EA127" w14:textId="19A55CA5" w:rsidR="009C2EF0" w:rsidRPr="009C2EF0" w:rsidRDefault="009C2EF0" w:rsidP="00F31F06">
            <w:pPr>
              <w:pStyle w:val="procedurestablestyle"/>
              <w:jc w:val="both"/>
              <w:rPr>
                <w:szCs w:val="24"/>
                <w:lang w:val="es-ES"/>
              </w:rPr>
            </w:pPr>
            <w:r w:rsidRPr="009C2EF0">
              <w:rPr>
                <w:szCs w:val="24"/>
                <w:lang w:val="es-ES"/>
              </w:rPr>
              <w:t>Un informe de incumplimiento se puede recibir vía fax, Internet, o de forma personal, por escrito, en las oficinas de la subdirección de investigación.</w:t>
            </w:r>
          </w:p>
          <w:p w14:paraId="0EB924E5" w14:textId="77777777" w:rsidR="009C2EF0" w:rsidRPr="009C2EF0" w:rsidRDefault="009C2EF0" w:rsidP="00F31F06">
            <w:pPr>
              <w:pStyle w:val="procedurestablestyle"/>
              <w:jc w:val="both"/>
              <w:rPr>
                <w:szCs w:val="24"/>
                <w:lang w:val="es-ES"/>
              </w:rPr>
            </w:pPr>
            <w:r w:rsidRPr="009C2EF0">
              <w:rPr>
                <w:szCs w:val="24"/>
                <w:lang w:val="es-ES"/>
              </w:rPr>
              <w:t>Una vez recibido, ponga la fecha actual en la esquina derecha superior del informe.</w:t>
            </w:r>
          </w:p>
          <w:p w14:paraId="6FC922DB" w14:textId="77777777" w:rsidR="009C2EF0" w:rsidRPr="009C2EF0" w:rsidRDefault="009C2EF0" w:rsidP="00F31F06">
            <w:pPr>
              <w:pStyle w:val="procedurestablestyle"/>
              <w:jc w:val="both"/>
              <w:rPr>
                <w:szCs w:val="24"/>
                <w:lang w:val="es-ES"/>
              </w:rPr>
            </w:pPr>
            <w:r w:rsidRPr="009C2EF0">
              <w:rPr>
                <w:szCs w:val="24"/>
                <w:lang w:val="es-ES"/>
              </w:rPr>
              <w:t>Si es notificado por el teléfono, indique que recibió la llamada en el Registro de comunicación. Registre la información transmitida.</w:t>
            </w:r>
          </w:p>
          <w:p w14:paraId="124B1835" w14:textId="77777777" w:rsidR="009C2EF0" w:rsidRPr="009C2EF0" w:rsidRDefault="009C2EF0" w:rsidP="00F31F06">
            <w:pPr>
              <w:pStyle w:val="procedurestablestyle"/>
              <w:jc w:val="both"/>
              <w:rPr>
                <w:szCs w:val="24"/>
                <w:lang w:val="es-ES"/>
              </w:rPr>
            </w:pPr>
            <w:r w:rsidRPr="009C2EF0">
              <w:rPr>
                <w:szCs w:val="24"/>
                <w:lang w:val="es-ES"/>
              </w:rPr>
              <w:t>Da de alta el informe en la base de datos apropiada.</w:t>
            </w:r>
          </w:p>
          <w:p w14:paraId="65EC6B6A" w14:textId="191346B5" w:rsidR="009C2EF0" w:rsidRPr="009C2EF0" w:rsidRDefault="009C2EF0" w:rsidP="003C0DB9">
            <w:pPr>
              <w:pStyle w:val="procedurestablestyle"/>
              <w:jc w:val="both"/>
              <w:rPr>
                <w:szCs w:val="24"/>
                <w:lang w:val="es-ES"/>
              </w:rPr>
            </w:pPr>
            <w:r w:rsidRPr="009C2EF0">
              <w:rPr>
                <w:szCs w:val="24"/>
                <w:lang w:val="es-ES"/>
              </w:rPr>
              <w:t xml:space="preserve">Reúne toda la información al archivo apropiado del estudio y  lo entrega al </w:t>
            </w:r>
            <w:r w:rsidR="003C0DB9">
              <w:rPr>
                <w:szCs w:val="24"/>
                <w:lang w:val="es-ES"/>
              </w:rPr>
              <w:t>Presidente o en su caso a la persona que el asigne</w:t>
            </w:r>
            <w:r w:rsidRPr="009C2EF0">
              <w:rPr>
                <w:szCs w:val="24"/>
                <w:lang w:val="es-ES"/>
              </w:rPr>
              <w:t xml:space="preserve"> para su revisión.</w:t>
            </w:r>
          </w:p>
        </w:tc>
        <w:tc>
          <w:tcPr>
            <w:tcW w:w="2700" w:type="dxa"/>
            <w:tcBorders>
              <w:top w:val="single" w:sz="36" w:space="0" w:color="FFFFFF"/>
              <w:left w:val="single" w:sz="6" w:space="0" w:color="FFFFFF"/>
              <w:bottom w:val="single" w:sz="6" w:space="0" w:color="FFFFFF"/>
              <w:right w:val="single" w:sz="36" w:space="0" w:color="FFFFFF"/>
            </w:tcBorders>
            <w:shd w:val="pct5" w:color="000000" w:fill="FFFFFF"/>
          </w:tcPr>
          <w:p w14:paraId="39E1AA42" w14:textId="77777777" w:rsidR="009C2EF0" w:rsidRPr="009C2EF0" w:rsidRDefault="009C2EF0" w:rsidP="00F31F06">
            <w:pPr>
              <w:pStyle w:val="procedurestablestyle"/>
              <w:jc w:val="both"/>
              <w:rPr>
                <w:szCs w:val="24"/>
                <w:lang w:val="es-ES"/>
              </w:rPr>
            </w:pPr>
            <w:r w:rsidRPr="009C2EF0">
              <w:rPr>
                <w:szCs w:val="24"/>
                <w:lang w:val="es-ES"/>
              </w:rPr>
              <w:t>Informe de Evento adverso serio</w:t>
            </w:r>
          </w:p>
          <w:p w14:paraId="214D7D45" w14:textId="77777777" w:rsidR="009C2EF0" w:rsidRPr="009C2EF0" w:rsidRDefault="009C2EF0" w:rsidP="00F31F06">
            <w:pPr>
              <w:pStyle w:val="procedurestablestyle"/>
              <w:jc w:val="both"/>
              <w:rPr>
                <w:szCs w:val="24"/>
                <w:lang w:val="es-ES"/>
              </w:rPr>
            </w:pPr>
            <w:r w:rsidRPr="009C2EF0">
              <w:rPr>
                <w:szCs w:val="24"/>
                <w:lang w:val="es-ES"/>
              </w:rPr>
              <w:t xml:space="preserve"> </w:t>
            </w:r>
          </w:p>
          <w:p w14:paraId="34CB8AFF" w14:textId="77777777" w:rsidR="009C2EF0" w:rsidRPr="009C2EF0" w:rsidRDefault="009C2EF0" w:rsidP="00F31F06">
            <w:pPr>
              <w:pStyle w:val="procedurestablestyle"/>
              <w:jc w:val="both"/>
              <w:rPr>
                <w:szCs w:val="24"/>
                <w:lang w:val="es-ES"/>
              </w:rPr>
            </w:pPr>
          </w:p>
          <w:p w14:paraId="7FA024AF" w14:textId="77777777" w:rsidR="009C2EF0" w:rsidRPr="009C2EF0" w:rsidRDefault="009C2EF0" w:rsidP="00F31F06">
            <w:pPr>
              <w:pStyle w:val="procedurestablestyle"/>
              <w:jc w:val="both"/>
              <w:rPr>
                <w:szCs w:val="24"/>
                <w:lang w:val="es-ES"/>
              </w:rPr>
            </w:pPr>
            <w:r w:rsidRPr="009C2EF0">
              <w:rPr>
                <w:szCs w:val="24"/>
                <w:lang w:val="es-ES"/>
              </w:rPr>
              <w:t>CO 601-P: Registro de la comunicación</w:t>
            </w:r>
          </w:p>
          <w:p w14:paraId="3DAC5BCA" w14:textId="77777777" w:rsidR="009C2EF0" w:rsidRPr="009C2EF0" w:rsidRDefault="009C2EF0" w:rsidP="00F31F06">
            <w:pPr>
              <w:pStyle w:val="procedurestablestyle"/>
              <w:jc w:val="both"/>
              <w:rPr>
                <w:szCs w:val="24"/>
                <w:lang w:val="es-ES"/>
              </w:rPr>
            </w:pPr>
          </w:p>
          <w:p w14:paraId="184A24EF" w14:textId="77777777" w:rsidR="009C2EF0" w:rsidRPr="009C2EF0" w:rsidRDefault="009C2EF0" w:rsidP="00F31F06">
            <w:pPr>
              <w:pStyle w:val="procedurestablestyle"/>
              <w:jc w:val="both"/>
              <w:rPr>
                <w:szCs w:val="24"/>
                <w:lang w:val="es-ES"/>
              </w:rPr>
            </w:pPr>
            <w:r w:rsidRPr="009C2EF0">
              <w:rPr>
                <w:szCs w:val="24"/>
                <w:lang w:val="es-ES"/>
              </w:rPr>
              <w:t>CO 601-I: Acuse de Recibo de Informe de Evento Adverso/IND Informe de Seguridad.</w:t>
            </w:r>
          </w:p>
        </w:tc>
      </w:tr>
      <w:tr w:rsidR="009C2EF0" w:rsidRPr="009C2EF0" w14:paraId="14769D45" w14:textId="77777777" w:rsidTr="00F31F06">
        <w:trPr>
          <w:trHeight w:val="200"/>
        </w:trPr>
        <w:tc>
          <w:tcPr>
            <w:tcW w:w="2250" w:type="dxa"/>
            <w:tcBorders>
              <w:top w:val="single" w:sz="6" w:space="0" w:color="FFFFFF"/>
              <w:left w:val="single" w:sz="36" w:space="0" w:color="FFFFFF"/>
              <w:bottom w:val="single" w:sz="6" w:space="0" w:color="FFFFFF"/>
              <w:right w:val="single" w:sz="6" w:space="0" w:color="FFFFFF"/>
            </w:tcBorders>
            <w:shd w:val="pct5" w:color="000000" w:fill="FFFFFF"/>
          </w:tcPr>
          <w:p w14:paraId="5B9EA22F" w14:textId="77777777" w:rsidR="009C2EF0" w:rsidRPr="009C2EF0" w:rsidRDefault="009C2EF0" w:rsidP="00F31F06">
            <w:pPr>
              <w:pStyle w:val="procedurestablestyle"/>
              <w:jc w:val="both"/>
              <w:rPr>
                <w:szCs w:val="24"/>
                <w:lang w:val="es-ES"/>
              </w:rPr>
            </w:pPr>
            <w:r w:rsidRPr="009C2EF0">
              <w:rPr>
                <w:i/>
                <w:szCs w:val="24"/>
                <w:lang w:val="es-ES"/>
              </w:rPr>
              <w:t>Secretaria Asistente</w:t>
            </w:r>
          </w:p>
        </w:tc>
        <w:tc>
          <w:tcPr>
            <w:tcW w:w="3704" w:type="dxa"/>
            <w:tcBorders>
              <w:top w:val="single" w:sz="6" w:space="0" w:color="FFFFFF"/>
              <w:left w:val="single" w:sz="6" w:space="0" w:color="FFFFFF"/>
              <w:bottom w:val="single" w:sz="6" w:space="0" w:color="FFFFFF"/>
              <w:right w:val="single" w:sz="6" w:space="0" w:color="FFFFFF"/>
            </w:tcBorders>
            <w:shd w:val="pct5" w:color="000000" w:fill="FFFFFF"/>
          </w:tcPr>
          <w:p w14:paraId="6FC0D1A5" w14:textId="77777777" w:rsidR="009C2EF0" w:rsidRPr="009C2EF0" w:rsidRDefault="009C2EF0" w:rsidP="00F31F06">
            <w:pPr>
              <w:pStyle w:val="procedurestablestyle"/>
              <w:jc w:val="both"/>
              <w:rPr>
                <w:szCs w:val="24"/>
                <w:lang w:val="es-ES"/>
              </w:rPr>
            </w:pPr>
            <w:r w:rsidRPr="009C2EF0">
              <w:rPr>
                <w:szCs w:val="24"/>
                <w:lang w:val="es-ES"/>
              </w:rPr>
              <w:t xml:space="preserve">Revisa todos los informes recibidos, obtiene información adicional si es necesario o está disponible. Notifica el Presidente del Comité. </w:t>
            </w:r>
          </w:p>
        </w:tc>
        <w:tc>
          <w:tcPr>
            <w:tcW w:w="2700" w:type="dxa"/>
            <w:tcBorders>
              <w:top w:val="single" w:sz="6" w:space="0" w:color="FFFFFF"/>
              <w:left w:val="single" w:sz="6" w:space="0" w:color="FFFFFF"/>
              <w:bottom w:val="single" w:sz="6" w:space="0" w:color="FFFFFF"/>
              <w:right w:val="single" w:sz="36" w:space="0" w:color="FFFFFF"/>
            </w:tcBorders>
            <w:shd w:val="pct5" w:color="000000" w:fill="FFFFFF"/>
          </w:tcPr>
          <w:p w14:paraId="53378859" w14:textId="77777777" w:rsidR="009C2EF0" w:rsidRPr="009C2EF0" w:rsidRDefault="009C2EF0" w:rsidP="00F31F06">
            <w:pPr>
              <w:pStyle w:val="procedurestablestyle"/>
              <w:jc w:val="both"/>
              <w:rPr>
                <w:szCs w:val="24"/>
                <w:lang w:val="es-ES"/>
              </w:rPr>
            </w:pPr>
          </w:p>
        </w:tc>
      </w:tr>
    </w:tbl>
    <w:p w14:paraId="257C18DD" w14:textId="77777777" w:rsidR="009C2EF0" w:rsidRPr="009C2EF0" w:rsidRDefault="009C2EF0" w:rsidP="009C2EF0">
      <w:pPr>
        <w:jc w:val="both"/>
        <w:rPr>
          <w:rFonts w:ascii="Arial" w:hAnsi="Arial" w:cs="Arial"/>
        </w:rPr>
      </w:pPr>
    </w:p>
    <w:p w14:paraId="24D2A3FD" w14:textId="77777777" w:rsidR="009C2EF0" w:rsidRPr="009C2EF0" w:rsidRDefault="009C2EF0" w:rsidP="009C2EF0">
      <w:pPr>
        <w:tabs>
          <w:tab w:val="left" w:pos="2889"/>
        </w:tabs>
        <w:rPr>
          <w:rFonts w:ascii="Arial" w:hAnsi="Arial" w:cs="Arial"/>
        </w:rPr>
      </w:pPr>
    </w:p>
    <w:p w14:paraId="3FE9E23F" w14:textId="77777777" w:rsidR="001C0FC1" w:rsidRPr="009C2EF0" w:rsidRDefault="001C0FC1" w:rsidP="00DB53D2">
      <w:pPr>
        <w:jc w:val="both"/>
        <w:rPr>
          <w:rFonts w:ascii="Arial" w:hAnsi="Arial" w:cs="Arial"/>
          <w:b/>
        </w:rPr>
      </w:pPr>
    </w:p>
    <w:p w14:paraId="0A9973B7" w14:textId="77777777" w:rsidR="001C0FC1" w:rsidRPr="009C2EF0" w:rsidRDefault="001C0FC1" w:rsidP="00DB53D2">
      <w:pPr>
        <w:jc w:val="both"/>
        <w:rPr>
          <w:rFonts w:ascii="Arial" w:hAnsi="Arial" w:cs="Arial"/>
          <w:b/>
        </w:rPr>
      </w:pPr>
    </w:p>
    <w:p w14:paraId="3BF8EB61" w14:textId="77777777" w:rsidR="00803517" w:rsidRPr="009C2EF0" w:rsidRDefault="00803517" w:rsidP="00DB53D2">
      <w:pPr>
        <w:jc w:val="both"/>
        <w:rPr>
          <w:rFonts w:ascii="Arial" w:hAnsi="Arial" w:cs="Arial"/>
          <w:b/>
        </w:rPr>
      </w:pPr>
      <w:r w:rsidRPr="009C2EF0">
        <w:rPr>
          <w:rFonts w:ascii="Arial" w:hAnsi="Arial" w:cs="Arial"/>
          <w:b/>
        </w:rPr>
        <w:t>VI. MATERIALES</w:t>
      </w:r>
    </w:p>
    <w:p w14:paraId="576AAF0B" w14:textId="77777777" w:rsidR="003D3DE3" w:rsidRPr="009C2EF0" w:rsidRDefault="003D3DE3" w:rsidP="00DB53D2">
      <w:pPr>
        <w:jc w:val="both"/>
        <w:rPr>
          <w:rFonts w:ascii="Arial" w:hAnsi="Arial" w:cs="Arial"/>
          <w:b/>
        </w:rPr>
      </w:pPr>
    </w:p>
    <w:p w14:paraId="32CA2BCA" w14:textId="77777777" w:rsidR="009C2EF0" w:rsidRPr="009C2EF0" w:rsidRDefault="009C2EF0" w:rsidP="009C2EF0">
      <w:pPr>
        <w:tabs>
          <w:tab w:val="left" w:pos="2088"/>
          <w:tab w:val="left" w:pos="2358"/>
          <w:tab w:val="left" w:pos="10458"/>
        </w:tabs>
        <w:ind w:left="378"/>
        <w:jc w:val="both"/>
        <w:rPr>
          <w:rFonts w:ascii="Arial" w:hAnsi="Arial" w:cs="Arial"/>
        </w:rPr>
      </w:pPr>
      <w:r w:rsidRPr="009C2EF0">
        <w:rPr>
          <w:rFonts w:ascii="Arial" w:hAnsi="Arial" w:cs="Arial"/>
        </w:rPr>
        <w:t>RR 403-A  Carta de confirmación de la visita de sitio.</w:t>
      </w:r>
    </w:p>
    <w:p w14:paraId="10FEA25A" w14:textId="720B756E" w:rsidR="009C2EF0" w:rsidRPr="009C2EF0" w:rsidRDefault="009C2EF0" w:rsidP="009C2EF0">
      <w:pPr>
        <w:tabs>
          <w:tab w:val="left" w:pos="2088"/>
          <w:tab w:val="left" w:pos="2358"/>
          <w:tab w:val="left" w:pos="10458"/>
        </w:tabs>
        <w:ind w:left="378"/>
        <w:jc w:val="both"/>
        <w:rPr>
          <w:rFonts w:ascii="Arial" w:hAnsi="Arial" w:cs="Arial"/>
        </w:rPr>
      </w:pPr>
      <w:r w:rsidRPr="009C2EF0">
        <w:rPr>
          <w:rFonts w:ascii="Arial" w:hAnsi="Arial" w:cs="Arial"/>
        </w:rPr>
        <w:t xml:space="preserve">RR 403-B  Hoja de trabajo de la visita de sitio </w:t>
      </w:r>
      <w:r w:rsidR="00A91875">
        <w:rPr>
          <w:rFonts w:ascii="Arial" w:hAnsi="Arial" w:cs="Arial"/>
        </w:rPr>
        <w:t>por causa</w:t>
      </w:r>
    </w:p>
    <w:p w14:paraId="13A7127E" w14:textId="77777777" w:rsidR="009C2EF0" w:rsidRPr="009C2EF0" w:rsidRDefault="009C2EF0" w:rsidP="009C2EF0">
      <w:pPr>
        <w:tabs>
          <w:tab w:val="left" w:pos="2088"/>
          <w:tab w:val="left" w:pos="2358"/>
          <w:tab w:val="left" w:pos="10458"/>
        </w:tabs>
        <w:ind w:left="378"/>
        <w:jc w:val="both"/>
        <w:rPr>
          <w:rFonts w:ascii="Arial" w:hAnsi="Arial" w:cs="Arial"/>
        </w:rPr>
      </w:pPr>
      <w:r w:rsidRPr="009C2EF0">
        <w:rPr>
          <w:rFonts w:ascii="Arial" w:hAnsi="Arial" w:cs="Arial"/>
        </w:rPr>
        <w:t>RR 403-C  Informe de la visita de sitio</w:t>
      </w:r>
    </w:p>
    <w:p w14:paraId="0B7D1D4E" w14:textId="77777777" w:rsidR="009C2EF0" w:rsidRPr="009C2EF0" w:rsidRDefault="009C2EF0" w:rsidP="009C2EF0">
      <w:pPr>
        <w:tabs>
          <w:tab w:val="left" w:pos="2088"/>
          <w:tab w:val="left" w:pos="2358"/>
          <w:tab w:val="left" w:pos="10458"/>
        </w:tabs>
        <w:ind w:left="378"/>
        <w:jc w:val="both"/>
        <w:rPr>
          <w:rFonts w:ascii="Arial" w:hAnsi="Arial" w:cs="Arial"/>
        </w:rPr>
      </w:pPr>
      <w:r w:rsidRPr="009C2EF0">
        <w:rPr>
          <w:rFonts w:ascii="Arial" w:hAnsi="Arial" w:cs="Arial"/>
        </w:rPr>
        <w:lastRenderedPageBreak/>
        <w:t>RR 403-D  Informe de evento adverso serio</w:t>
      </w:r>
    </w:p>
    <w:p w14:paraId="59D9EF48" w14:textId="77777777" w:rsidR="009C2EF0" w:rsidRPr="009C2EF0" w:rsidRDefault="009C2EF0" w:rsidP="009C2EF0">
      <w:pPr>
        <w:tabs>
          <w:tab w:val="left" w:pos="2088"/>
          <w:tab w:val="left" w:pos="2358"/>
          <w:tab w:val="left" w:pos="10458"/>
        </w:tabs>
        <w:ind w:left="378"/>
        <w:jc w:val="both"/>
        <w:rPr>
          <w:rFonts w:ascii="Arial" w:hAnsi="Arial" w:cs="Arial"/>
        </w:rPr>
      </w:pPr>
      <w:r w:rsidRPr="009C2EF0">
        <w:rPr>
          <w:rFonts w:ascii="Arial" w:hAnsi="Arial" w:cs="Arial"/>
        </w:rPr>
        <w:t>RR 403-E  Formato de revisión de reportes de eventos adversos</w:t>
      </w:r>
    </w:p>
    <w:p w14:paraId="18BD94F8" w14:textId="77777777" w:rsidR="009C2EF0" w:rsidRPr="009C2EF0" w:rsidRDefault="009C2EF0" w:rsidP="009C2EF0">
      <w:pPr>
        <w:tabs>
          <w:tab w:val="left" w:pos="2088"/>
          <w:tab w:val="left" w:pos="2358"/>
          <w:tab w:val="left" w:pos="10458"/>
        </w:tabs>
        <w:ind w:left="378"/>
        <w:jc w:val="both"/>
        <w:rPr>
          <w:rFonts w:ascii="Arial" w:hAnsi="Arial" w:cs="Arial"/>
        </w:rPr>
      </w:pPr>
      <w:r w:rsidRPr="009C2EF0">
        <w:rPr>
          <w:rFonts w:ascii="Arial" w:hAnsi="Arial" w:cs="Arial"/>
        </w:rPr>
        <w:t>RR 403-F  Revisión de Nuevos Hallazgos significativos</w:t>
      </w:r>
    </w:p>
    <w:p w14:paraId="3C08B294" w14:textId="77777777" w:rsidR="009C2EF0" w:rsidRDefault="009C2EF0" w:rsidP="009C2EF0">
      <w:pPr>
        <w:tabs>
          <w:tab w:val="left" w:pos="2088"/>
          <w:tab w:val="left" w:pos="2358"/>
          <w:tab w:val="left" w:pos="10458"/>
        </w:tabs>
        <w:ind w:left="378"/>
        <w:jc w:val="both"/>
        <w:rPr>
          <w:rFonts w:ascii="Arial" w:hAnsi="Arial" w:cs="Arial"/>
        </w:rPr>
      </w:pPr>
      <w:r w:rsidRPr="009C2EF0">
        <w:rPr>
          <w:rFonts w:ascii="Arial" w:hAnsi="Arial" w:cs="Arial"/>
        </w:rPr>
        <w:t>RR 403-G  Formato de sometimiento de enmienda.</w:t>
      </w:r>
    </w:p>
    <w:p w14:paraId="76CDDFEE" w14:textId="63DB90DF" w:rsidR="00D22A2B" w:rsidRDefault="00D844CD" w:rsidP="009C2EF0">
      <w:pPr>
        <w:tabs>
          <w:tab w:val="left" w:pos="2088"/>
          <w:tab w:val="left" w:pos="2358"/>
          <w:tab w:val="left" w:pos="10458"/>
        </w:tabs>
        <w:ind w:left="378"/>
        <w:jc w:val="both"/>
        <w:rPr>
          <w:rFonts w:ascii="Arial" w:hAnsi="Arial" w:cs="Arial"/>
        </w:rPr>
      </w:pPr>
      <w:r>
        <w:rPr>
          <w:rFonts w:ascii="Arial" w:hAnsi="Arial" w:cs="Arial"/>
        </w:rPr>
        <w:t>RR 403</w:t>
      </w:r>
      <w:r w:rsidR="00D22A2B">
        <w:rPr>
          <w:rFonts w:ascii="Arial" w:hAnsi="Arial" w:cs="Arial"/>
        </w:rPr>
        <w:t>-H  Formato de Sometimiento de reporte de auditorias de terceros</w:t>
      </w:r>
    </w:p>
    <w:p w14:paraId="33BA5241" w14:textId="7D5D236A" w:rsidR="00D844CD" w:rsidRPr="009C2EF0" w:rsidRDefault="00D844CD" w:rsidP="009C2EF0">
      <w:pPr>
        <w:tabs>
          <w:tab w:val="left" w:pos="2088"/>
          <w:tab w:val="left" w:pos="2358"/>
          <w:tab w:val="left" w:pos="10458"/>
        </w:tabs>
        <w:ind w:left="378"/>
        <w:jc w:val="both"/>
        <w:rPr>
          <w:rFonts w:ascii="Arial" w:hAnsi="Arial" w:cs="Arial"/>
        </w:rPr>
      </w:pPr>
      <w:r>
        <w:rPr>
          <w:rFonts w:ascii="Arial" w:hAnsi="Arial" w:cs="Arial"/>
        </w:rPr>
        <w:t xml:space="preserve">RR 403-I    </w:t>
      </w:r>
      <w:r w:rsidRPr="009C2EF0">
        <w:rPr>
          <w:rFonts w:ascii="Arial" w:hAnsi="Arial" w:cs="Arial"/>
        </w:rPr>
        <w:t>Hoja de trabajo de la visita de sitio</w:t>
      </w:r>
    </w:p>
    <w:p w14:paraId="34B7B25B" w14:textId="77777777" w:rsidR="0084626A" w:rsidRPr="009C2EF0" w:rsidRDefault="0084626A" w:rsidP="00DB53D2">
      <w:pPr>
        <w:jc w:val="both"/>
        <w:rPr>
          <w:rFonts w:ascii="Arial" w:hAnsi="Arial" w:cs="Arial"/>
          <w:b/>
        </w:rPr>
      </w:pPr>
    </w:p>
    <w:p w14:paraId="064217B1" w14:textId="77777777" w:rsidR="00B50A97" w:rsidRPr="009C2EF0" w:rsidRDefault="00B50A97" w:rsidP="00DB53D2">
      <w:pPr>
        <w:jc w:val="both"/>
        <w:rPr>
          <w:rFonts w:ascii="Arial" w:hAnsi="Arial" w:cs="Arial"/>
          <w:b/>
        </w:rPr>
      </w:pPr>
    </w:p>
    <w:p w14:paraId="3093917B" w14:textId="77777777" w:rsidR="00830631" w:rsidRPr="009C2EF0" w:rsidRDefault="00830631" w:rsidP="00DB53D2">
      <w:pPr>
        <w:jc w:val="both"/>
        <w:rPr>
          <w:rFonts w:ascii="Arial" w:hAnsi="Arial" w:cs="Arial"/>
          <w:b/>
        </w:rPr>
      </w:pPr>
      <w:r w:rsidRPr="009C2EF0">
        <w:rPr>
          <w:rFonts w:ascii="Arial" w:hAnsi="Arial" w:cs="Arial"/>
          <w:b/>
        </w:rPr>
        <w:t>VII. LIGAS DE INTERES</w:t>
      </w:r>
      <w:r w:rsidR="002E2FEC" w:rsidRPr="009C2EF0">
        <w:rPr>
          <w:rFonts w:ascii="Arial" w:hAnsi="Arial" w:cs="Arial"/>
          <w:b/>
        </w:rPr>
        <w:t xml:space="preserve"> O DE DESCARGA</w:t>
      </w:r>
    </w:p>
    <w:p w14:paraId="2840EDA8" w14:textId="77777777" w:rsidR="00985FCE" w:rsidRPr="009C2EF0" w:rsidRDefault="00985FCE" w:rsidP="00DB53D2">
      <w:pPr>
        <w:jc w:val="both"/>
        <w:rPr>
          <w:rFonts w:ascii="Arial" w:hAnsi="Arial" w:cs="Arial"/>
          <w:b/>
        </w:rPr>
      </w:pPr>
    </w:p>
    <w:p w14:paraId="5DEA14EE" w14:textId="77777777" w:rsidR="0020729E" w:rsidRPr="0020729E" w:rsidRDefault="00CB37E8" w:rsidP="0020729E">
      <w:pPr>
        <w:pStyle w:val="Default"/>
        <w:ind w:firstLine="708"/>
        <w:rPr>
          <w:rFonts w:ascii="Arial" w:hAnsi="Arial" w:cs="Arial"/>
          <w:lang w:val="en-US"/>
        </w:rPr>
      </w:pPr>
      <w:r w:rsidRPr="0020729E">
        <w:rPr>
          <w:rFonts w:ascii="Arial" w:hAnsi="Arial" w:cs="Arial"/>
          <w:color w:val="auto"/>
          <w:lang w:val="en-US"/>
        </w:rPr>
        <w:t xml:space="preserve">VII.1 </w:t>
      </w:r>
      <w:r w:rsidR="0020729E" w:rsidRPr="0020729E">
        <w:rPr>
          <w:rFonts w:ascii="Arial" w:hAnsi="Arial" w:cs="Arial"/>
          <w:bCs/>
          <w:lang w:val="en-US"/>
        </w:rPr>
        <w:t>Guidance for IRBs, Clinical Investigators, and Sponsors</w:t>
      </w:r>
    </w:p>
    <w:p w14:paraId="7831D290" w14:textId="77777777" w:rsidR="003711D6" w:rsidRPr="0020729E" w:rsidRDefault="0020729E" w:rsidP="0020729E">
      <w:pPr>
        <w:ind w:firstLine="708"/>
        <w:jc w:val="both"/>
        <w:rPr>
          <w:rFonts w:ascii="Arial" w:hAnsi="Arial" w:cs="Arial"/>
          <w:lang w:val="en-US"/>
        </w:rPr>
      </w:pPr>
      <w:r w:rsidRPr="0020729E">
        <w:rPr>
          <w:rFonts w:ascii="Arial" w:hAnsi="Arial" w:cs="Arial"/>
          <w:bCs/>
          <w:lang w:val="en-US"/>
        </w:rPr>
        <w:t>IRB Continuing Review after Clinical Investigation Approval</w:t>
      </w:r>
    </w:p>
    <w:p w14:paraId="2A67D1EE" w14:textId="77777777" w:rsidR="0020729E" w:rsidRDefault="003D6610" w:rsidP="0020729E">
      <w:pPr>
        <w:ind w:firstLine="708"/>
        <w:jc w:val="both"/>
        <w:rPr>
          <w:rFonts w:ascii="Arial" w:hAnsi="Arial" w:cs="Arial"/>
          <w:lang w:val="en-US"/>
        </w:rPr>
      </w:pPr>
      <w:hyperlink r:id="rId9" w:history="1">
        <w:r w:rsidR="0020729E" w:rsidRPr="0034555A">
          <w:rPr>
            <w:rStyle w:val="Hipervnculo"/>
            <w:rFonts w:ascii="Arial" w:hAnsi="Arial" w:cs="Arial"/>
            <w:lang w:val="en-US"/>
          </w:rPr>
          <w:t>http://www.fda.gov/downloads/RegulatoryInformation/Guidances/UCM197347.pdf</w:t>
        </w:r>
      </w:hyperlink>
    </w:p>
    <w:p w14:paraId="6BED556D" w14:textId="77777777" w:rsidR="0020729E" w:rsidRPr="003C0DB9" w:rsidRDefault="0020729E" w:rsidP="0020729E">
      <w:pPr>
        <w:ind w:firstLine="708"/>
        <w:jc w:val="both"/>
        <w:rPr>
          <w:rFonts w:ascii="Arial" w:hAnsi="Arial" w:cs="Arial"/>
          <w:lang w:val="en-US"/>
        </w:rPr>
      </w:pPr>
      <w:r w:rsidRPr="003C0DB9">
        <w:rPr>
          <w:rFonts w:ascii="Arial" w:hAnsi="Arial" w:cs="Arial"/>
          <w:lang w:val="en-US"/>
        </w:rPr>
        <w:t>VII.2 Continuing Review After Study Approval - Information Sheet</w:t>
      </w:r>
    </w:p>
    <w:p w14:paraId="0AF318C2" w14:textId="77777777" w:rsidR="0020729E" w:rsidRPr="003C0DB9" w:rsidRDefault="0020729E" w:rsidP="0020729E">
      <w:pPr>
        <w:ind w:firstLine="708"/>
        <w:jc w:val="both"/>
        <w:rPr>
          <w:rFonts w:ascii="Arial" w:hAnsi="Arial" w:cs="Arial"/>
          <w:lang w:val="en-US"/>
        </w:rPr>
      </w:pPr>
      <w:r w:rsidRPr="003C0DB9">
        <w:rPr>
          <w:rFonts w:ascii="Arial" w:hAnsi="Arial" w:cs="Arial"/>
          <w:lang w:val="en-US"/>
        </w:rPr>
        <w:t>Guidance for Institutional Review Boards and Clinical Investigators</w:t>
      </w:r>
    </w:p>
    <w:p w14:paraId="2B097C28" w14:textId="77777777" w:rsidR="0020729E" w:rsidRDefault="003D6610" w:rsidP="0020729E">
      <w:pPr>
        <w:ind w:firstLine="708"/>
        <w:jc w:val="both"/>
        <w:rPr>
          <w:rFonts w:ascii="Arial" w:hAnsi="Arial" w:cs="Arial"/>
          <w:lang w:val="en-US"/>
        </w:rPr>
      </w:pPr>
      <w:hyperlink r:id="rId10" w:history="1">
        <w:r w:rsidR="0020729E" w:rsidRPr="0034555A">
          <w:rPr>
            <w:rStyle w:val="Hipervnculo"/>
            <w:rFonts w:ascii="Arial" w:hAnsi="Arial" w:cs="Arial"/>
            <w:lang w:val="en-US"/>
          </w:rPr>
          <w:t>http://www.fda.gov/RegulatoryInformation/Guidances/ucm126424.htm</w:t>
        </w:r>
      </w:hyperlink>
    </w:p>
    <w:p w14:paraId="0E2D1E0C" w14:textId="77777777" w:rsidR="00CB37E8" w:rsidRPr="0020729E" w:rsidRDefault="00CB37E8" w:rsidP="009C4C4B">
      <w:pPr>
        <w:jc w:val="both"/>
        <w:rPr>
          <w:rFonts w:ascii="Arial" w:hAnsi="Arial" w:cs="Arial"/>
          <w:lang w:val="en-US"/>
        </w:rPr>
      </w:pPr>
    </w:p>
    <w:p w14:paraId="73E67A23" w14:textId="77777777" w:rsidR="00803517" w:rsidRPr="0020729E" w:rsidRDefault="00803517" w:rsidP="00DB53D2">
      <w:pPr>
        <w:jc w:val="both"/>
        <w:rPr>
          <w:rFonts w:ascii="Arial" w:hAnsi="Arial" w:cs="Arial"/>
          <w:b/>
          <w:lang w:val="en-US"/>
        </w:rPr>
      </w:pPr>
    </w:p>
    <w:p w14:paraId="6BE8915D" w14:textId="77777777" w:rsidR="00803517" w:rsidRPr="009C2EF0" w:rsidRDefault="00803517" w:rsidP="00DB53D2">
      <w:pPr>
        <w:jc w:val="both"/>
        <w:rPr>
          <w:rFonts w:ascii="Arial" w:hAnsi="Arial" w:cs="Arial"/>
          <w:b/>
        </w:rPr>
      </w:pPr>
      <w:r w:rsidRPr="009C2EF0">
        <w:rPr>
          <w:rFonts w:ascii="Arial" w:hAnsi="Arial" w:cs="Arial"/>
          <w:b/>
        </w:rPr>
        <w:t>VI</w:t>
      </w:r>
      <w:r w:rsidR="00830631" w:rsidRPr="009C2EF0">
        <w:rPr>
          <w:rFonts w:ascii="Arial" w:hAnsi="Arial" w:cs="Arial"/>
          <w:b/>
        </w:rPr>
        <w:t>I</w:t>
      </w:r>
      <w:r w:rsidRPr="009C2EF0">
        <w:rPr>
          <w:rFonts w:ascii="Arial" w:hAnsi="Arial" w:cs="Arial"/>
          <w:b/>
        </w:rPr>
        <w:t>I. REFERENCIAS</w:t>
      </w:r>
    </w:p>
    <w:p w14:paraId="541D9857" w14:textId="77777777" w:rsidR="003711D6" w:rsidRPr="009C2EF0" w:rsidRDefault="003711D6" w:rsidP="0066775B">
      <w:pPr>
        <w:pStyle w:val="level1bodystyle"/>
        <w:ind w:left="1080"/>
        <w:jc w:val="both"/>
        <w:rPr>
          <w:szCs w:val="24"/>
          <w:lang w:val="es-ES"/>
        </w:rPr>
      </w:pPr>
    </w:p>
    <w:p w14:paraId="0E6A2FAE" w14:textId="77777777" w:rsidR="009C2EF0" w:rsidRPr="009C2EF0" w:rsidRDefault="009C2EF0" w:rsidP="00351E7B">
      <w:pPr>
        <w:pStyle w:val="level1bodystyle"/>
        <w:numPr>
          <w:ilvl w:val="0"/>
          <w:numId w:val="1"/>
        </w:numPr>
        <w:jc w:val="both"/>
        <w:rPr>
          <w:szCs w:val="24"/>
          <w:lang w:val="es-ES"/>
        </w:rPr>
      </w:pPr>
      <w:r w:rsidRPr="009C2EF0">
        <w:rPr>
          <w:szCs w:val="24"/>
          <w:lang w:val="es-ES"/>
        </w:rPr>
        <w:t>21 CFR 812.64</w:t>
      </w:r>
    </w:p>
    <w:p w14:paraId="1AB3D32C" w14:textId="77777777" w:rsidR="009C2EF0" w:rsidRPr="009C2EF0" w:rsidRDefault="009C2EF0" w:rsidP="00351E7B">
      <w:pPr>
        <w:pStyle w:val="level1bodystyle"/>
        <w:numPr>
          <w:ilvl w:val="0"/>
          <w:numId w:val="1"/>
        </w:numPr>
        <w:jc w:val="both"/>
        <w:rPr>
          <w:szCs w:val="24"/>
          <w:lang w:val="es-ES"/>
        </w:rPr>
      </w:pPr>
      <w:r w:rsidRPr="009C2EF0">
        <w:rPr>
          <w:szCs w:val="24"/>
          <w:lang w:val="es-ES"/>
        </w:rPr>
        <w:t>21 CFR 56.108, 56.109, 56.113</w:t>
      </w:r>
    </w:p>
    <w:p w14:paraId="7FB8F1DB" w14:textId="77777777" w:rsidR="009C2EF0" w:rsidRDefault="009C2EF0" w:rsidP="00351E7B">
      <w:pPr>
        <w:pStyle w:val="level1bodystyle"/>
        <w:numPr>
          <w:ilvl w:val="0"/>
          <w:numId w:val="1"/>
        </w:numPr>
        <w:jc w:val="both"/>
        <w:rPr>
          <w:szCs w:val="24"/>
          <w:lang w:val="es-ES"/>
        </w:rPr>
      </w:pPr>
      <w:r w:rsidRPr="009C2EF0">
        <w:rPr>
          <w:szCs w:val="24"/>
          <w:lang w:val="es-ES"/>
        </w:rPr>
        <w:t>45 CFR 46.103, 46.109, 46.115</w:t>
      </w:r>
    </w:p>
    <w:p w14:paraId="728F7811" w14:textId="1D74A698" w:rsidR="004C2D0C" w:rsidRPr="009835F0" w:rsidRDefault="004C2D0C" w:rsidP="00351E7B">
      <w:pPr>
        <w:pStyle w:val="level1bodystyle"/>
        <w:numPr>
          <w:ilvl w:val="0"/>
          <w:numId w:val="1"/>
        </w:numPr>
        <w:jc w:val="both"/>
        <w:rPr>
          <w:szCs w:val="24"/>
          <w:lang w:val="es-ES"/>
        </w:rPr>
      </w:pPr>
      <w:r w:rsidRPr="009835F0">
        <w:rPr>
          <w:color w:val="000000"/>
        </w:rPr>
        <w:t>45 CFR 46.111(a)(6)</w:t>
      </w:r>
    </w:p>
    <w:p w14:paraId="5C14AC28" w14:textId="635B8F67" w:rsidR="00CF6755" w:rsidRPr="004C2D0C" w:rsidRDefault="00CF6755" w:rsidP="00351E7B">
      <w:pPr>
        <w:pStyle w:val="level1bodystyle"/>
        <w:numPr>
          <w:ilvl w:val="0"/>
          <w:numId w:val="1"/>
        </w:numPr>
        <w:jc w:val="both"/>
        <w:rPr>
          <w:szCs w:val="24"/>
          <w:lang w:val="es-ES"/>
        </w:rPr>
      </w:pPr>
      <w:r w:rsidRPr="009B224C">
        <w:rPr>
          <w:color w:val="000000"/>
          <w:lang w:val="es-MX"/>
        </w:rPr>
        <w:t xml:space="preserve">Ley General de Salud en Materia de </w:t>
      </w:r>
      <w:proofErr w:type="spellStart"/>
      <w:r w:rsidRPr="009B224C">
        <w:rPr>
          <w:color w:val="000000"/>
          <w:lang w:val="es-MX"/>
        </w:rPr>
        <w:t>Investigacion</w:t>
      </w:r>
      <w:proofErr w:type="spellEnd"/>
      <w:r w:rsidRPr="009B224C">
        <w:rPr>
          <w:color w:val="000000"/>
          <w:lang w:val="es-MX"/>
        </w:rPr>
        <w:t xml:space="preserve"> con sus </w:t>
      </w:r>
      <w:r w:rsidR="008C0B0D" w:rsidRPr="009B224C">
        <w:rPr>
          <w:rFonts w:ascii="Calibri" w:hAnsi="Calibri"/>
          <w:color w:val="000000"/>
          <w:lang w:val="es-MX"/>
        </w:rPr>
        <w:t>Artí</w:t>
      </w:r>
      <w:r w:rsidRPr="009B224C">
        <w:rPr>
          <w:rFonts w:ascii="Calibri" w:hAnsi="Calibri"/>
          <w:color w:val="000000"/>
          <w:lang w:val="es-MX"/>
        </w:rPr>
        <w:t>culos</w:t>
      </w:r>
      <w:r w:rsidRPr="009B224C">
        <w:rPr>
          <w:color w:val="000000"/>
          <w:lang w:val="es-MX"/>
        </w:rPr>
        <w:t xml:space="preserve"> 116, 119</w:t>
      </w:r>
    </w:p>
    <w:p w14:paraId="293448D7" w14:textId="30FE14C6" w:rsidR="009C2EF0" w:rsidRPr="009C2EF0" w:rsidRDefault="006401B4" w:rsidP="00BD7809">
      <w:pPr>
        <w:pStyle w:val="level1bodystyle"/>
        <w:numPr>
          <w:ilvl w:val="0"/>
          <w:numId w:val="1"/>
        </w:numPr>
        <w:jc w:val="both"/>
        <w:rPr>
          <w:b/>
          <w:szCs w:val="24"/>
          <w:lang w:val="es-ES"/>
        </w:rPr>
      </w:pPr>
      <w:r w:rsidRPr="009C2EF0">
        <w:rPr>
          <w:szCs w:val="24"/>
          <w:lang w:val="es-MX"/>
        </w:rPr>
        <w:t>Referencia de la AAHRPP</w:t>
      </w:r>
      <w:r w:rsidR="00E81964" w:rsidRPr="009C2EF0">
        <w:rPr>
          <w:szCs w:val="24"/>
          <w:lang w:val="es-MX"/>
        </w:rPr>
        <w:t xml:space="preserve">. </w:t>
      </w:r>
      <w:r w:rsidR="001C0FC1" w:rsidRPr="009C2EF0">
        <w:rPr>
          <w:szCs w:val="24"/>
          <w:lang w:val="es-MX"/>
        </w:rPr>
        <w:t xml:space="preserve">Elementos </w:t>
      </w:r>
      <w:r w:rsidR="00CA0E48">
        <w:rPr>
          <w:szCs w:val="24"/>
          <w:lang w:val="es-MX"/>
        </w:rPr>
        <w:t>II.2.F</w:t>
      </w:r>
      <w:r w:rsidR="0068377A">
        <w:rPr>
          <w:szCs w:val="24"/>
          <w:lang w:val="es-MX"/>
        </w:rPr>
        <w:t>, II.3.B</w:t>
      </w:r>
    </w:p>
    <w:sectPr w:rsidR="009C2EF0" w:rsidRPr="009C2EF0" w:rsidSect="000F60C9">
      <w:headerReference w:type="default" r:id="rId11"/>
      <w:footerReference w:type="default" r:id="rId12"/>
      <w:pgSz w:w="12242" w:h="15842" w:code="1"/>
      <w:pgMar w:top="1701" w:right="1701" w:bottom="1418" w:left="1701" w:header="1703"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D533B" w14:textId="77777777" w:rsidR="003D6610" w:rsidRDefault="003D6610" w:rsidP="00CB37E8">
      <w:r>
        <w:separator/>
      </w:r>
    </w:p>
  </w:endnote>
  <w:endnote w:type="continuationSeparator" w:id="0">
    <w:p w14:paraId="5BEE87C3" w14:textId="77777777" w:rsidR="003D6610" w:rsidRDefault="003D6610" w:rsidP="00C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2739"/>
      <w:docPartObj>
        <w:docPartGallery w:val="Page Numbers (Bottom of Page)"/>
        <w:docPartUnique/>
      </w:docPartObj>
    </w:sdtPr>
    <w:sdtEndPr/>
    <w:sdtContent>
      <w:sdt>
        <w:sdtPr>
          <w:id w:val="216747587"/>
          <w:docPartObj>
            <w:docPartGallery w:val="Page Numbers (Top of Page)"/>
            <w:docPartUnique/>
          </w:docPartObj>
        </w:sdtPr>
        <w:sdtEndPr/>
        <w:sdtContent>
          <w:p w14:paraId="0B0E4227" w14:textId="77777777" w:rsidR="008C0B0D" w:rsidRDefault="008C0B0D">
            <w:pPr>
              <w:pStyle w:val="Piedepgina"/>
              <w:jc w:val="right"/>
            </w:pPr>
            <w:r>
              <w:t xml:space="preserve">Página </w:t>
            </w:r>
            <w:r>
              <w:rPr>
                <w:b/>
              </w:rPr>
              <w:fldChar w:fldCharType="begin"/>
            </w:r>
            <w:r>
              <w:rPr>
                <w:b/>
              </w:rPr>
              <w:instrText>PAGE</w:instrText>
            </w:r>
            <w:r>
              <w:rPr>
                <w:b/>
              </w:rPr>
              <w:fldChar w:fldCharType="separate"/>
            </w:r>
            <w:r w:rsidR="00E55227">
              <w:rPr>
                <w:b/>
                <w:noProof/>
              </w:rPr>
              <w:t>15</w:t>
            </w:r>
            <w:r>
              <w:rPr>
                <w:b/>
              </w:rPr>
              <w:fldChar w:fldCharType="end"/>
            </w:r>
            <w:r>
              <w:t xml:space="preserve"> de </w:t>
            </w:r>
            <w:r>
              <w:rPr>
                <w:b/>
              </w:rPr>
              <w:fldChar w:fldCharType="begin"/>
            </w:r>
            <w:r>
              <w:rPr>
                <w:b/>
              </w:rPr>
              <w:instrText>NUMPAGES</w:instrText>
            </w:r>
            <w:r>
              <w:rPr>
                <w:b/>
              </w:rPr>
              <w:fldChar w:fldCharType="separate"/>
            </w:r>
            <w:r w:rsidR="00E55227">
              <w:rPr>
                <w:b/>
                <w:noProof/>
              </w:rPr>
              <w:t>16</w:t>
            </w:r>
            <w:r>
              <w:rPr>
                <w:b/>
              </w:rPr>
              <w:fldChar w:fldCharType="end"/>
            </w:r>
          </w:p>
        </w:sdtContent>
      </w:sdt>
    </w:sdtContent>
  </w:sdt>
  <w:p w14:paraId="3D0C97ED" w14:textId="77777777" w:rsidR="008C0B0D" w:rsidRDefault="008C0B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3DDD1" w14:textId="77777777" w:rsidR="003D6610" w:rsidRDefault="003D6610" w:rsidP="00CB37E8">
      <w:r>
        <w:separator/>
      </w:r>
    </w:p>
  </w:footnote>
  <w:footnote w:type="continuationSeparator" w:id="0">
    <w:p w14:paraId="00D67502" w14:textId="77777777" w:rsidR="003D6610" w:rsidRDefault="003D6610" w:rsidP="00CB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B9765" w14:textId="77777777" w:rsidR="008C0B0D" w:rsidRDefault="008C0B0D">
    <w:pPr>
      <w:pStyle w:val="Encabezado"/>
    </w:pPr>
  </w:p>
  <w:tbl>
    <w:tblPr>
      <w:tblStyle w:val="Tablaconcuadrcula"/>
      <w:tblpPr w:leftFromText="141" w:rightFromText="141" w:vertAnchor="text" w:horzAnchor="margin" w:tblpY="-817"/>
      <w:tblW w:w="5000" w:type="pct"/>
      <w:tblLook w:val="04A0" w:firstRow="1" w:lastRow="0" w:firstColumn="1" w:lastColumn="0" w:noHBand="0" w:noVBand="1"/>
    </w:tblPr>
    <w:tblGrid>
      <w:gridCol w:w="2165"/>
      <w:gridCol w:w="1165"/>
      <w:gridCol w:w="1422"/>
      <w:gridCol w:w="2016"/>
      <w:gridCol w:w="2288"/>
    </w:tblGrid>
    <w:tr w:rsidR="008C0B0D" w14:paraId="6D66000D" w14:textId="77777777" w:rsidTr="007A5DCE">
      <w:trPr>
        <w:trHeight w:val="410"/>
      </w:trPr>
      <w:tc>
        <w:tcPr>
          <w:tcW w:w="1196" w:type="pct"/>
          <w:vMerge w:val="restart"/>
        </w:tcPr>
        <w:p w14:paraId="715BB9B5" w14:textId="77777777" w:rsidR="008C0B0D" w:rsidRDefault="008C0B0D" w:rsidP="007A5DCE">
          <w:pPr>
            <w:rPr>
              <w:sz w:val="10"/>
            </w:rPr>
          </w:pPr>
          <w:r>
            <w:rPr>
              <w:noProof/>
              <w:sz w:val="10"/>
              <w:lang w:val="es-MX" w:eastAsia="ja-JP"/>
            </w:rPr>
            <w:drawing>
              <wp:anchor distT="0" distB="0" distL="114300" distR="114300" simplePos="0" relativeHeight="251659264" behindDoc="0" locked="0" layoutInCell="1" allowOverlap="1" wp14:anchorId="5790314C" wp14:editId="51C01370">
                <wp:simplePos x="0" y="0"/>
                <wp:positionH relativeFrom="column">
                  <wp:posOffset>-54610</wp:posOffset>
                </wp:positionH>
                <wp:positionV relativeFrom="paragraph">
                  <wp:posOffset>74295</wp:posOffset>
                </wp:positionV>
                <wp:extent cx="463550" cy="463550"/>
                <wp:effectExtent l="19050" t="0" r="0" b="0"/>
                <wp:wrapSquare wrapText="bothSides"/>
                <wp:docPr id="2"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3550" cy="463550"/>
                        </a:xfrm>
                        <a:prstGeom prst="rect">
                          <a:avLst/>
                        </a:prstGeom>
                        <a:noFill/>
                        <a:ln w="9525">
                          <a:noFill/>
                          <a:miter lim="800000"/>
                          <a:headEnd/>
                          <a:tailEnd/>
                        </a:ln>
                      </pic:spPr>
                    </pic:pic>
                  </a:graphicData>
                </a:graphic>
              </wp:anchor>
            </w:drawing>
          </w:r>
        </w:p>
        <w:p w14:paraId="66F0418C" w14:textId="77777777" w:rsidR="008C0B0D" w:rsidRDefault="008C0B0D" w:rsidP="007A5DCE">
          <w:pPr>
            <w:rPr>
              <w:rFonts w:ascii="Arial" w:hAnsi="Arial" w:cs="Arial"/>
              <w:sz w:val="12"/>
            </w:rPr>
          </w:pPr>
        </w:p>
        <w:p w14:paraId="2A0F8E2C" w14:textId="77777777" w:rsidR="008C0B0D" w:rsidRDefault="008C0B0D" w:rsidP="007A5DCE">
          <w:pPr>
            <w:rPr>
              <w:rFonts w:ascii="Arial" w:hAnsi="Arial" w:cs="Arial"/>
              <w:sz w:val="12"/>
            </w:rPr>
          </w:pPr>
        </w:p>
        <w:p w14:paraId="31CE008E" w14:textId="77777777" w:rsidR="008C0B0D" w:rsidRDefault="008C0B0D" w:rsidP="007A5DCE">
          <w:pPr>
            <w:rPr>
              <w:rFonts w:ascii="Arial" w:hAnsi="Arial" w:cs="Arial"/>
              <w:sz w:val="12"/>
            </w:rPr>
          </w:pPr>
        </w:p>
        <w:p w14:paraId="46F827DE" w14:textId="77777777" w:rsidR="008C0B0D" w:rsidRDefault="008C0B0D" w:rsidP="007A5DCE">
          <w:pPr>
            <w:rPr>
              <w:rFonts w:ascii="Arial" w:hAnsi="Arial" w:cs="Arial"/>
              <w:sz w:val="12"/>
            </w:rPr>
          </w:pPr>
        </w:p>
        <w:p w14:paraId="391E5926" w14:textId="77777777" w:rsidR="008C0B0D" w:rsidRDefault="008C0B0D" w:rsidP="007A5DCE">
          <w:pPr>
            <w:rPr>
              <w:rFonts w:ascii="Arial" w:hAnsi="Arial" w:cs="Arial"/>
              <w:sz w:val="12"/>
            </w:rPr>
          </w:pPr>
        </w:p>
        <w:p w14:paraId="5C4ED70D" w14:textId="77777777" w:rsidR="008C0B0D" w:rsidRDefault="008C0B0D" w:rsidP="007A5DCE">
          <w:pPr>
            <w:rPr>
              <w:rFonts w:ascii="Arial" w:hAnsi="Arial" w:cs="Arial"/>
              <w:sz w:val="12"/>
            </w:rPr>
          </w:pPr>
        </w:p>
        <w:p w14:paraId="579CFC2A" w14:textId="77777777" w:rsidR="008C0B0D" w:rsidRDefault="008C0B0D" w:rsidP="007A5DCE">
          <w:pPr>
            <w:jc w:val="center"/>
            <w:rPr>
              <w:rFonts w:ascii="Arial" w:hAnsi="Arial" w:cs="Arial"/>
              <w:sz w:val="12"/>
            </w:rPr>
          </w:pPr>
          <w:r w:rsidRPr="00803517">
            <w:rPr>
              <w:rFonts w:ascii="Arial" w:hAnsi="Arial" w:cs="Arial"/>
              <w:sz w:val="12"/>
            </w:rPr>
            <w:t>Comité de Ética,</w:t>
          </w:r>
        </w:p>
        <w:p w14:paraId="3C82CD6C" w14:textId="77777777" w:rsidR="008C0B0D" w:rsidRDefault="008C0B0D" w:rsidP="007A5DCE">
          <w:pPr>
            <w:jc w:val="center"/>
            <w:rPr>
              <w:rFonts w:ascii="Arial" w:hAnsi="Arial" w:cs="Arial"/>
              <w:sz w:val="12"/>
            </w:rPr>
          </w:pPr>
          <w:r w:rsidRPr="00803517">
            <w:rPr>
              <w:rFonts w:ascii="Arial" w:hAnsi="Arial" w:cs="Arial"/>
              <w:sz w:val="12"/>
            </w:rPr>
            <w:t>Comité de Investigación.</w:t>
          </w:r>
        </w:p>
        <w:p w14:paraId="010F6CDF" w14:textId="77777777" w:rsidR="008C0B0D" w:rsidRDefault="008C0B0D" w:rsidP="007A5DCE">
          <w:pPr>
            <w:jc w:val="center"/>
            <w:rPr>
              <w:rFonts w:ascii="Arial" w:hAnsi="Arial" w:cs="Arial"/>
              <w:sz w:val="12"/>
            </w:rPr>
          </w:pPr>
          <w:r w:rsidRPr="00803517">
            <w:rPr>
              <w:rFonts w:ascii="Arial" w:hAnsi="Arial" w:cs="Arial"/>
              <w:sz w:val="12"/>
            </w:rPr>
            <w:t>Facultad de Medicina,</w:t>
          </w:r>
        </w:p>
        <w:p w14:paraId="47D0692C" w14:textId="77777777" w:rsidR="008C0B0D" w:rsidRPr="00DB53D2" w:rsidRDefault="008C0B0D" w:rsidP="007A5DCE">
          <w:pPr>
            <w:jc w:val="center"/>
            <w:rPr>
              <w:sz w:val="10"/>
            </w:rPr>
          </w:pPr>
          <w:r w:rsidRPr="00803517">
            <w:rPr>
              <w:rFonts w:ascii="Arial" w:hAnsi="Arial" w:cs="Arial"/>
              <w:sz w:val="12"/>
            </w:rPr>
            <w:t>UANL</w:t>
          </w:r>
        </w:p>
      </w:tc>
      <w:tc>
        <w:tcPr>
          <w:tcW w:w="3804" w:type="pct"/>
          <w:gridSpan w:val="4"/>
        </w:tcPr>
        <w:p w14:paraId="215FA5BD" w14:textId="040B18C3" w:rsidR="008C0B0D" w:rsidRDefault="008C0B0D" w:rsidP="00772EED">
          <w:r>
            <w:rPr>
              <w:rFonts w:ascii="Arial" w:hAnsi="Arial" w:cs="Arial"/>
              <w:b/>
              <w:caps/>
              <w:lang w:val="es-MX"/>
            </w:rPr>
            <w:t xml:space="preserve">SOP:         </w:t>
          </w:r>
          <w:r>
            <w:rPr>
              <w:rFonts w:ascii="Arial" w:hAnsi="Arial" w:cs="Arial"/>
              <w:b/>
              <w:caps/>
            </w:rPr>
            <w:t xml:space="preserve"> </w:t>
          </w:r>
          <w:r>
            <w:rPr>
              <w:rFonts w:ascii="Arial" w:hAnsi="Arial" w:cs="Arial"/>
              <w:b/>
            </w:rPr>
            <w:t xml:space="preserve"> REVISION CONTINUA - </w:t>
          </w:r>
          <w:r>
            <w:rPr>
              <w:rFonts w:ascii="Arial" w:hAnsi="Arial" w:cs="Arial"/>
              <w:b/>
              <w:caps/>
            </w:rPr>
            <w:t>en curso. ENMIENDAS, REPORTE DE EVENTOS, REPORTES DE SEGURIDAD</w:t>
          </w:r>
        </w:p>
      </w:tc>
    </w:tr>
    <w:tr w:rsidR="008C0B0D" w14:paraId="3D562015" w14:textId="77777777" w:rsidTr="007A5DCE">
      <w:trPr>
        <w:trHeight w:val="343"/>
      </w:trPr>
      <w:tc>
        <w:tcPr>
          <w:tcW w:w="1196" w:type="pct"/>
          <w:vMerge/>
        </w:tcPr>
        <w:p w14:paraId="7D1CDBFE" w14:textId="77777777" w:rsidR="008C0B0D" w:rsidRDefault="008C0B0D" w:rsidP="007A5DCE"/>
      </w:tc>
      <w:tc>
        <w:tcPr>
          <w:tcW w:w="643" w:type="pct"/>
        </w:tcPr>
        <w:p w14:paraId="5730A76B" w14:textId="77777777" w:rsidR="008C0B0D" w:rsidRPr="00803517" w:rsidRDefault="008C0B0D" w:rsidP="007A5DCE">
          <w:pPr>
            <w:jc w:val="center"/>
            <w:rPr>
              <w:rFonts w:ascii="Arial" w:hAnsi="Arial" w:cs="Arial"/>
              <w:sz w:val="16"/>
            </w:rPr>
          </w:pPr>
          <w:r w:rsidRPr="00803517">
            <w:rPr>
              <w:rFonts w:ascii="Arial" w:hAnsi="Arial" w:cs="Arial"/>
              <w:sz w:val="16"/>
            </w:rPr>
            <w:t>Numero</w:t>
          </w:r>
        </w:p>
      </w:tc>
      <w:tc>
        <w:tcPr>
          <w:tcW w:w="785" w:type="pct"/>
        </w:tcPr>
        <w:p w14:paraId="00938F5D" w14:textId="77777777" w:rsidR="008C0B0D" w:rsidRPr="00803517" w:rsidRDefault="008C0B0D" w:rsidP="007A5DCE">
          <w:pPr>
            <w:jc w:val="center"/>
            <w:rPr>
              <w:rFonts w:ascii="Arial" w:hAnsi="Arial" w:cs="Arial"/>
              <w:sz w:val="16"/>
            </w:rPr>
          </w:pPr>
          <w:r w:rsidRPr="00803517">
            <w:rPr>
              <w:rFonts w:ascii="Arial" w:hAnsi="Arial" w:cs="Arial"/>
              <w:sz w:val="16"/>
            </w:rPr>
            <w:t>Fecha</w:t>
          </w:r>
        </w:p>
      </w:tc>
      <w:tc>
        <w:tcPr>
          <w:tcW w:w="1113" w:type="pct"/>
        </w:tcPr>
        <w:p w14:paraId="37EF8DF2" w14:textId="77777777" w:rsidR="008C0B0D" w:rsidRPr="00803517" w:rsidRDefault="008C0B0D" w:rsidP="007A5DCE">
          <w:pPr>
            <w:jc w:val="center"/>
            <w:rPr>
              <w:rFonts w:ascii="Arial" w:hAnsi="Arial" w:cs="Arial"/>
              <w:sz w:val="16"/>
            </w:rPr>
          </w:pPr>
          <w:r w:rsidRPr="00803517">
            <w:rPr>
              <w:rFonts w:ascii="Arial" w:hAnsi="Arial" w:cs="Arial"/>
              <w:sz w:val="16"/>
            </w:rPr>
            <w:t>Autor</w:t>
          </w:r>
        </w:p>
      </w:tc>
      <w:tc>
        <w:tcPr>
          <w:tcW w:w="1262" w:type="pct"/>
        </w:tcPr>
        <w:p w14:paraId="7C25485D" w14:textId="77777777" w:rsidR="008C0B0D" w:rsidRPr="00803517" w:rsidRDefault="008C0B0D" w:rsidP="007A5DCE">
          <w:pPr>
            <w:jc w:val="center"/>
            <w:rPr>
              <w:rFonts w:ascii="Arial" w:hAnsi="Arial" w:cs="Arial"/>
              <w:sz w:val="16"/>
            </w:rPr>
          </w:pPr>
          <w:r w:rsidRPr="00803517">
            <w:rPr>
              <w:rFonts w:ascii="Arial" w:hAnsi="Arial" w:cs="Arial"/>
              <w:sz w:val="16"/>
            </w:rPr>
            <w:t>Aprobado por</w:t>
          </w:r>
        </w:p>
      </w:tc>
    </w:tr>
    <w:tr w:rsidR="008C0B0D" w14:paraId="6451438A" w14:textId="77777777" w:rsidTr="007A5DCE">
      <w:trPr>
        <w:trHeight w:val="544"/>
      </w:trPr>
      <w:tc>
        <w:tcPr>
          <w:tcW w:w="1196" w:type="pct"/>
          <w:vMerge/>
        </w:tcPr>
        <w:p w14:paraId="2C1988B1" w14:textId="77777777" w:rsidR="008C0B0D" w:rsidRDefault="008C0B0D" w:rsidP="007A5DCE"/>
      </w:tc>
      <w:tc>
        <w:tcPr>
          <w:tcW w:w="643" w:type="pct"/>
        </w:tcPr>
        <w:p w14:paraId="6A9DB794" w14:textId="77777777" w:rsidR="008C0B0D" w:rsidRPr="00803517" w:rsidRDefault="008C0B0D" w:rsidP="007A5DCE">
          <w:pPr>
            <w:jc w:val="center"/>
            <w:rPr>
              <w:rFonts w:ascii="Arial" w:hAnsi="Arial" w:cs="Arial"/>
              <w:sz w:val="20"/>
              <w:szCs w:val="20"/>
            </w:rPr>
          </w:pPr>
          <w:r>
            <w:rPr>
              <w:rFonts w:ascii="Arial" w:hAnsi="Arial" w:cs="Arial"/>
              <w:sz w:val="20"/>
              <w:szCs w:val="20"/>
            </w:rPr>
            <w:t>RR-403</w:t>
          </w:r>
        </w:p>
      </w:tc>
      <w:tc>
        <w:tcPr>
          <w:tcW w:w="785" w:type="pct"/>
        </w:tcPr>
        <w:p w14:paraId="3F989B55" w14:textId="574C942E" w:rsidR="008C0B0D" w:rsidRPr="00803517" w:rsidRDefault="000F64C6" w:rsidP="00C5490C">
          <w:pPr>
            <w:jc w:val="center"/>
            <w:rPr>
              <w:rFonts w:ascii="Arial" w:hAnsi="Arial" w:cs="Arial"/>
              <w:sz w:val="20"/>
              <w:szCs w:val="20"/>
            </w:rPr>
          </w:pPr>
          <w:r>
            <w:rPr>
              <w:rFonts w:ascii="Arial" w:hAnsi="Arial" w:cs="Arial"/>
              <w:sz w:val="20"/>
              <w:szCs w:val="20"/>
            </w:rPr>
            <w:t>0</w:t>
          </w:r>
          <w:r w:rsidR="00C5490C">
            <w:rPr>
              <w:rFonts w:ascii="Arial" w:hAnsi="Arial" w:cs="Arial"/>
              <w:sz w:val="20"/>
              <w:szCs w:val="20"/>
            </w:rPr>
            <w:t>1/08</w:t>
          </w:r>
          <w:r>
            <w:rPr>
              <w:rFonts w:ascii="Arial" w:hAnsi="Arial" w:cs="Arial"/>
              <w:sz w:val="20"/>
              <w:szCs w:val="20"/>
            </w:rPr>
            <w:t>/2022</w:t>
          </w:r>
        </w:p>
      </w:tc>
      <w:tc>
        <w:tcPr>
          <w:tcW w:w="1113" w:type="pct"/>
        </w:tcPr>
        <w:p w14:paraId="5C8BDB4D" w14:textId="5162CBCD" w:rsidR="008C0B0D" w:rsidRPr="00803517" w:rsidRDefault="008C0B0D" w:rsidP="007A5DCE">
          <w:pPr>
            <w:rPr>
              <w:rFonts w:ascii="Arial" w:hAnsi="Arial" w:cs="Arial"/>
              <w:sz w:val="20"/>
              <w:szCs w:val="20"/>
            </w:rPr>
          </w:pPr>
          <w:r>
            <w:rPr>
              <w:rFonts w:ascii="Arial" w:hAnsi="Arial" w:cs="Arial"/>
              <w:sz w:val="20"/>
              <w:szCs w:val="20"/>
            </w:rPr>
            <w:t>I.</w:t>
          </w:r>
          <w:r w:rsidR="00C5490C">
            <w:rPr>
              <w:rFonts w:ascii="Arial" w:hAnsi="Arial" w:cs="Arial"/>
              <w:sz w:val="20"/>
              <w:szCs w:val="20"/>
            </w:rPr>
            <w:t xml:space="preserve"> </w:t>
          </w:r>
          <w:r>
            <w:rPr>
              <w:rFonts w:ascii="Arial" w:hAnsi="Arial" w:cs="Arial"/>
              <w:sz w:val="20"/>
              <w:szCs w:val="20"/>
            </w:rPr>
            <w:t xml:space="preserve">Hernandez, </w:t>
          </w:r>
          <w:proofErr w:type="spellStart"/>
          <w:r>
            <w:rPr>
              <w:rFonts w:ascii="Arial" w:hAnsi="Arial" w:cs="Arial"/>
              <w:sz w:val="20"/>
              <w:szCs w:val="20"/>
            </w:rPr>
            <w:t>V.Gómez</w:t>
          </w:r>
          <w:proofErr w:type="spellEnd"/>
          <w:r>
            <w:rPr>
              <w:rFonts w:ascii="Arial" w:hAnsi="Arial" w:cs="Arial"/>
              <w:sz w:val="20"/>
              <w:szCs w:val="20"/>
            </w:rPr>
            <w:t>, J. Garza</w:t>
          </w:r>
          <w:r w:rsidR="00C5490C">
            <w:rPr>
              <w:rFonts w:ascii="Arial" w:hAnsi="Arial" w:cs="Arial"/>
              <w:sz w:val="20"/>
              <w:szCs w:val="20"/>
            </w:rPr>
            <w:t xml:space="preserve">, E. </w:t>
          </w:r>
          <w:proofErr w:type="spellStart"/>
          <w:r w:rsidR="00C5490C">
            <w:rPr>
              <w:rFonts w:ascii="Arial" w:hAnsi="Arial" w:cs="Arial"/>
              <w:sz w:val="20"/>
              <w:szCs w:val="20"/>
            </w:rPr>
            <w:t>Cantu</w:t>
          </w:r>
          <w:proofErr w:type="spellEnd"/>
        </w:p>
      </w:tc>
      <w:tc>
        <w:tcPr>
          <w:tcW w:w="1262" w:type="pct"/>
        </w:tcPr>
        <w:p w14:paraId="7C69077D" w14:textId="6AE791BD" w:rsidR="008C0B0D" w:rsidRPr="00803517" w:rsidRDefault="00C5490C" w:rsidP="007A5DCE">
          <w:pPr>
            <w:jc w:val="center"/>
            <w:rPr>
              <w:rFonts w:ascii="Arial" w:hAnsi="Arial" w:cs="Arial"/>
              <w:sz w:val="20"/>
              <w:szCs w:val="20"/>
            </w:rPr>
          </w:pPr>
          <w:r>
            <w:rPr>
              <w:rFonts w:ascii="Arial" w:hAnsi="Arial" w:cs="Arial"/>
              <w:sz w:val="20"/>
              <w:szCs w:val="20"/>
            </w:rPr>
            <w:t>A. Camacho</w:t>
          </w:r>
        </w:p>
      </w:tc>
    </w:tr>
  </w:tbl>
  <w:p w14:paraId="1C98EC29" w14:textId="77777777" w:rsidR="008C0B0D" w:rsidRDefault="008C0B0D">
    <w:pPr>
      <w:pStyle w:val="Encabezado"/>
    </w:pPr>
  </w:p>
  <w:p w14:paraId="31A8B15E" w14:textId="77777777" w:rsidR="008C0B0D" w:rsidRDefault="008C0B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EEB"/>
    <w:multiLevelType w:val="hybridMultilevel"/>
    <w:tmpl w:val="F00C8F8E"/>
    <w:lvl w:ilvl="0" w:tplc="FFFFFFFF">
      <w:start w:val="1"/>
      <w:numFmt w:val="bullet"/>
      <w:lvlText w:val=""/>
      <w:lvlJc w:val="left"/>
      <w:pPr>
        <w:tabs>
          <w:tab w:val="num" w:pos="1710"/>
        </w:tabs>
        <w:ind w:left="171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6363E42"/>
    <w:multiLevelType w:val="hybridMultilevel"/>
    <w:tmpl w:val="B3265722"/>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58105A"/>
    <w:multiLevelType w:val="hybridMultilevel"/>
    <w:tmpl w:val="BA2EFBE6"/>
    <w:lvl w:ilvl="0" w:tplc="525AD9F8">
      <w:start w:val="1"/>
      <w:numFmt w:val="decimal"/>
      <w:lvlText w:val="%1."/>
      <w:lvlJc w:val="left"/>
      <w:pPr>
        <w:ind w:left="1080" w:hanging="360"/>
      </w:pPr>
      <w:rPr>
        <w:sz w:val="24"/>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1086811"/>
    <w:multiLevelType w:val="hybridMultilevel"/>
    <w:tmpl w:val="37D8DB1E"/>
    <w:lvl w:ilvl="0" w:tplc="080A000D">
      <w:start w:val="1"/>
      <w:numFmt w:val="bullet"/>
      <w:lvlText w:val=""/>
      <w:lvlJc w:val="left"/>
      <w:pPr>
        <w:ind w:left="1710" w:hanging="360"/>
      </w:pPr>
      <w:rPr>
        <w:rFonts w:ascii="Wingdings" w:hAnsi="Wingdings" w:hint="default"/>
      </w:rPr>
    </w:lvl>
    <w:lvl w:ilvl="1" w:tplc="080A0003" w:tentative="1">
      <w:start w:val="1"/>
      <w:numFmt w:val="bullet"/>
      <w:lvlText w:val="o"/>
      <w:lvlJc w:val="left"/>
      <w:pPr>
        <w:ind w:left="2430" w:hanging="360"/>
      </w:pPr>
      <w:rPr>
        <w:rFonts w:ascii="Courier New" w:hAnsi="Courier New" w:cs="Courier New" w:hint="default"/>
      </w:rPr>
    </w:lvl>
    <w:lvl w:ilvl="2" w:tplc="080A0005" w:tentative="1">
      <w:start w:val="1"/>
      <w:numFmt w:val="bullet"/>
      <w:lvlText w:val=""/>
      <w:lvlJc w:val="left"/>
      <w:pPr>
        <w:ind w:left="3150" w:hanging="360"/>
      </w:pPr>
      <w:rPr>
        <w:rFonts w:ascii="Wingdings" w:hAnsi="Wingdings" w:hint="default"/>
      </w:rPr>
    </w:lvl>
    <w:lvl w:ilvl="3" w:tplc="080A0001" w:tentative="1">
      <w:start w:val="1"/>
      <w:numFmt w:val="bullet"/>
      <w:lvlText w:val=""/>
      <w:lvlJc w:val="left"/>
      <w:pPr>
        <w:ind w:left="3870" w:hanging="360"/>
      </w:pPr>
      <w:rPr>
        <w:rFonts w:ascii="Symbol" w:hAnsi="Symbol" w:hint="default"/>
      </w:rPr>
    </w:lvl>
    <w:lvl w:ilvl="4" w:tplc="080A0003" w:tentative="1">
      <w:start w:val="1"/>
      <w:numFmt w:val="bullet"/>
      <w:lvlText w:val="o"/>
      <w:lvlJc w:val="left"/>
      <w:pPr>
        <w:ind w:left="4590" w:hanging="360"/>
      </w:pPr>
      <w:rPr>
        <w:rFonts w:ascii="Courier New" w:hAnsi="Courier New" w:cs="Courier New" w:hint="default"/>
      </w:rPr>
    </w:lvl>
    <w:lvl w:ilvl="5" w:tplc="080A0005" w:tentative="1">
      <w:start w:val="1"/>
      <w:numFmt w:val="bullet"/>
      <w:lvlText w:val=""/>
      <w:lvlJc w:val="left"/>
      <w:pPr>
        <w:ind w:left="5310" w:hanging="360"/>
      </w:pPr>
      <w:rPr>
        <w:rFonts w:ascii="Wingdings" w:hAnsi="Wingdings" w:hint="default"/>
      </w:rPr>
    </w:lvl>
    <w:lvl w:ilvl="6" w:tplc="080A0001" w:tentative="1">
      <w:start w:val="1"/>
      <w:numFmt w:val="bullet"/>
      <w:lvlText w:val=""/>
      <w:lvlJc w:val="left"/>
      <w:pPr>
        <w:ind w:left="6030" w:hanging="360"/>
      </w:pPr>
      <w:rPr>
        <w:rFonts w:ascii="Symbol" w:hAnsi="Symbol" w:hint="default"/>
      </w:rPr>
    </w:lvl>
    <w:lvl w:ilvl="7" w:tplc="080A0003" w:tentative="1">
      <w:start w:val="1"/>
      <w:numFmt w:val="bullet"/>
      <w:lvlText w:val="o"/>
      <w:lvlJc w:val="left"/>
      <w:pPr>
        <w:ind w:left="6750" w:hanging="360"/>
      </w:pPr>
      <w:rPr>
        <w:rFonts w:ascii="Courier New" w:hAnsi="Courier New" w:cs="Courier New" w:hint="default"/>
      </w:rPr>
    </w:lvl>
    <w:lvl w:ilvl="8" w:tplc="080A0005" w:tentative="1">
      <w:start w:val="1"/>
      <w:numFmt w:val="bullet"/>
      <w:lvlText w:val=""/>
      <w:lvlJc w:val="left"/>
      <w:pPr>
        <w:ind w:left="7470" w:hanging="360"/>
      </w:pPr>
      <w:rPr>
        <w:rFonts w:ascii="Wingdings" w:hAnsi="Wingdings" w:hint="default"/>
      </w:rPr>
    </w:lvl>
  </w:abstractNum>
  <w:abstractNum w:abstractNumId="4">
    <w:nsid w:val="42E1703F"/>
    <w:multiLevelType w:val="hybridMultilevel"/>
    <w:tmpl w:val="C62E68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3C72CB"/>
    <w:multiLevelType w:val="hybridMultilevel"/>
    <w:tmpl w:val="6A34C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D24C33"/>
    <w:multiLevelType w:val="hybridMultilevel"/>
    <w:tmpl w:val="2286E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8FE184F"/>
    <w:multiLevelType w:val="hybridMultilevel"/>
    <w:tmpl w:val="C3D432D4"/>
    <w:lvl w:ilvl="0" w:tplc="F1E0CA8E">
      <w:start w:val="1"/>
      <w:numFmt w:val="bullet"/>
      <w:lvlText w:val=""/>
      <w:lvlJc w:val="left"/>
      <w:pPr>
        <w:tabs>
          <w:tab w:val="num" w:pos="1710"/>
        </w:tabs>
        <w:ind w:left="171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7"/>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5"/>
  </w:num>
  <w:num w:numId="7">
    <w:abstractNumId w:val="1"/>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DC"/>
    <w:rsid w:val="00030A6B"/>
    <w:rsid w:val="00031B43"/>
    <w:rsid w:val="000C17A5"/>
    <w:rsid w:val="000C22EF"/>
    <w:rsid w:val="000D6C2D"/>
    <w:rsid w:val="000E2452"/>
    <w:rsid w:val="000F60C9"/>
    <w:rsid w:val="000F64C6"/>
    <w:rsid w:val="0011116D"/>
    <w:rsid w:val="0015765A"/>
    <w:rsid w:val="00160AFA"/>
    <w:rsid w:val="0018311D"/>
    <w:rsid w:val="001B213D"/>
    <w:rsid w:val="001C0FC1"/>
    <w:rsid w:val="001C7CF9"/>
    <w:rsid w:val="0020729E"/>
    <w:rsid w:val="002472B1"/>
    <w:rsid w:val="00256156"/>
    <w:rsid w:val="00260BE7"/>
    <w:rsid w:val="00277294"/>
    <w:rsid w:val="002C7153"/>
    <w:rsid w:val="002D6459"/>
    <w:rsid w:val="002E2FEC"/>
    <w:rsid w:val="003311D2"/>
    <w:rsid w:val="00335ADD"/>
    <w:rsid w:val="0033655E"/>
    <w:rsid w:val="0034216B"/>
    <w:rsid w:val="00351E7B"/>
    <w:rsid w:val="003711D6"/>
    <w:rsid w:val="003B761F"/>
    <w:rsid w:val="003C0DB9"/>
    <w:rsid w:val="003D3DE3"/>
    <w:rsid w:val="003D4494"/>
    <w:rsid w:val="003D6610"/>
    <w:rsid w:val="00422E36"/>
    <w:rsid w:val="004461FD"/>
    <w:rsid w:val="00446CBC"/>
    <w:rsid w:val="004B18FB"/>
    <w:rsid w:val="004B4708"/>
    <w:rsid w:val="004C2D0C"/>
    <w:rsid w:val="004C421F"/>
    <w:rsid w:val="004D0E0B"/>
    <w:rsid w:val="004D1894"/>
    <w:rsid w:val="004D658C"/>
    <w:rsid w:val="004E2E38"/>
    <w:rsid w:val="004F7D7A"/>
    <w:rsid w:val="00501E1C"/>
    <w:rsid w:val="005247C2"/>
    <w:rsid w:val="00544CEF"/>
    <w:rsid w:val="005766A0"/>
    <w:rsid w:val="005A0CB4"/>
    <w:rsid w:val="005E10C3"/>
    <w:rsid w:val="005F6E91"/>
    <w:rsid w:val="00621DE6"/>
    <w:rsid w:val="0062720C"/>
    <w:rsid w:val="006401B4"/>
    <w:rsid w:val="00647CC7"/>
    <w:rsid w:val="0065029A"/>
    <w:rsid w:val="0066775B"/>
    <w:rsid w:val="0068377A"/>
    <w:rsid w:val="00690CA2"/>
    <w:rsid w:val="006E0180"/>
    <w:rsid w:val="006E6C5B"/>
    <w:rsid w:val="006F054A"/>
    <w:rsid w:val="007338DF"/>
    <w:rsid w:val="007557DC"/>
    <w:rsid w:val="0076779E"/>
    <w:rsid w:val="00772EED"/>
    <w:rsid w:val="007A41ED"/>
    <w:rsid w:val="007A5DCE"/>
    <w:rsid w:val="007C3E91"/>
    <w:rsid w:val="00803517"/>
    <w:rsid w:val="00830631"/>
    <w:rsid w:val="00845A36"/>
    <w:rsid w:val="0084626A"/>
    <w:rsid w:val="008462C9"/>
    <w:rsid w:val="00852A62"/>
    <w:rsid w:val="008852E7"/>
    <w:rsid w:val="008A07E7"/>
    <w:rsid w:val="008A1BE2"/>
    <w:rsid w:val="008C0B0D"/>
    <w:rsid w:val="008D4414"/>
    <w:rsid w:val="008E2BE0"/>
    <w:rsid w:val="009159FF"/>
    <w:rsid w:val="00921F71"/>
    <w:rsid w:val="00940268"/>
    <w:rsid w:val="00942695"/>
    <w:rsid w:val="009437E5"/>
    <w:rsid w:val="00953A18"/>
    <w:rsid w:val="00976FD3"/>
    <w:rsid w:val="009835F0"/>
    <w:rsid w:val="00984175"/>
    <w:rsid w:val="00985FCE"/>
    <w:rsid w:val="009B224C"/>
    <w:rsid w:val="009C2EF0"/>
    <w:rsid w:val="009C37B1"/>
    <w:rsid w:val="009C4C4B"/>
    <w:rsid w:val="00A21B21"/>
    <w:rsid w:val="00A3189B"/>
    <w:rsid w:val="00A56AC2"/>
    <w:rsid w:val="00A91875"/>
    <w:rsid w:val="00AB5F01"/>
    <w:rsid w:val="00AD7C71"/>
    <w:rsid w:val="00AF5E88"/>
    <w:rsid w:val="00B07EBA"/>
    <w:rsid w:val="00B26ACC"/>
    <w:rsid w:val="00B50A97"/>
    <w:rsid w:val="00B5310A"/>
    <w:rsid w:val="00BB71D1"/>
    <w:rsid w:val="00BD1130"/>
    <w:rsid w:val="00BD7809"/>
    <w:rsid w:val="00C13F93"/>
    <w:rsid w:val="00C5490C"/>
    <w:rsid w:val="00C63C3C"/>
    <w:rsid w:val="00C675EE"/>
    <w:rsid w:val="00C71110"/>
    <w:rsid w:val="00C853E2"/>
    <w:rsid w:val="00C977E7"/>
    <w:rsid w:val="00CA0E48"/>
    <w:rsid w:val="00CA3D17"/>
    <w:rsid w:val="00CB37E8"/>
    <w:rsid w:val="00CC79A3"/>
    <w:rsid w:val="00CF6755"/>
    <w:rsid w:val="00D1619F"/>
    <w:rsid w:val="00D21E35"/>
    <w:rsid w:val="00D22A2B"/>
    <w:rsid w:val="00D44992"/>
    <w:rsid w:val="00D60FD5"/>
    <w:rsid w:val="00D844CD"/>
    <w:rsid w:val="00D8488F"/>
    <w:rsid w:val="00DA0186"/>
    <w:rsid w:val="00DB53D2"/>
    <w:rsid w:val="00DD6A74"/>
    <w:rsid w:val="00DD7B59"/>
    <w:rsid w:val="00DF4E31"/>
    <w:rsid w:val="00E237A1"/>
    <w:rsid w:val="00E32601"/>
    <w:rsid w:val="00E367F4"/>
    <w:rsid w:val="00E434E3"/>
    <w:rsid w:val="00E55227"/>
    <w:rsid w:val="00E607BE"/>
    <w:rsid w:val="00E67A9D"/>
    <w:rsid w:val="00E73033"/>
    <w:rsid w:val="00E81964"/>
    <w:rsid w:val="00E8680A"/>
    <w:rsid w:val="00EA2201"/>
    <w:rsid w:val="00EA7389"/>
    <w:rsid w:val="00EB6C9D"/>
    <w:rsid w:val="00EC0A2B"/>
    <w:rsid w:val="00EC4BFA"/>
    <w:rsid w:val="00EE2FC1"/>
    <w:rsid w:val="00F11BB4"/>
    <w:rsid w:val="00F21FAA"/>
    <w:rsid w:val="00F31F06"/>
    <w:rsid w:val="00F73169"/>
    <w:rsid w:val="00FA1D30"/>
    <w:rsid w:val="00FE607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2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072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4026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94026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94026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940268"/>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Default">
    <w:name w:val="Default"/>
    <w:rsid w:val="002072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20729E"/>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940268"/>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uiPriority w:val="9"/>
    <w:rsid w:val="00940268"/>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rsid w:val="00940268"/>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rsid w:val="00940268"/>
    <w:rPr>
      <w:rFonts w:asciiTheme="majorHAnsi" w:eastAsiaTheme="majorEastAsia" w:hAnsiTheme="majorHAnsi" w:cstheme="majorBidi"/>
      <w:i/>
      <w:iCs/>
      <w:color w:val="404040" w:themeColor="text1" w:themeTint="BF"/>
      <w:sz w:val="24"/>
      <w:szCs w:val="24"/>
      <w:lang w:eastAsia="es-ES"/>
    </w:rPr>
  </w:style>
  <w:style w:type="paragraph" w:styleId="Revisin">
    <w:name w:val="Revision"/>
    <w:hidden/>
    <w:uiPriority w:val="99"/>
    <w:semiHidden/>
    <w:rsid w:val="00B26ACC"/>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072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4026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94026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94026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940268"/>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uiPriority w:val="34"/>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Default">
    <w:name w:val="Default"/>
    <w:rsid w:val="002072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20729E"/>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940268"/>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uiPriority w:val="9"/>
    <w:rsid w:val="00940268"/>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rsid w:val="00940268"/>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rsid w:val="00940268"/>
    <w:rPr>
      <w:rFonts w:asciiTheme="majorHAnsi" w:eastAsiaTheme="majorEastAsia" w:hAnsiTheme="majorHAnsi" w:cstheme="majorBidi"/>
      <w:i/>
      <w:iCs/>
      <w:color w:val="404040" w:themeColor="text1" w:themeTint="BF"/>
      <w:sz w:val="24"/>
      <w:szCs w:val="24"/>
      <w:lang w:eastAsia="es-ES"/>
    </w:rPr>
  </w:style>
  <w:style w:type="paragraph" w:styleId="Revisin">
    <w:name w:val="Revision"/>
    <w:hidden/>
    <w:uiPriority w:val="99"/>
    <w:semiHidden/>
    <w:rsid w:val="00B26AC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4000">
      <w:bodyDiv w:val="1"/>
      <w:marLeft w:val="0"/>
      <w:marRight w:val="0"/>
      <w:marTop w:val="0"/>
      <w:marBottom w:val="0"/>
      <w:divBdr>
        <w:top w:val="none" w:sz="0" w:space="0" w:color="auto"/>
        <w:left w:val="none" w:sz="0" w:space="0" w:color="auto"/>
        <w:bottom w:val="none" w:sz="0" w:space="0" w:color="auto"/>
        <w:right w:val="none" w:sz="0" w:space="0" w:color="auto"/>
      </w:divBdr>
      <w:divsChild>
        <w:div w:id="1067416542">
          <w:marLeft w:val="0"/>
          <w:marRight w:val="0"/>
          <w:marTop w:val="0"/>
          <w:marBottom w:val="0"/>
          <w:divBdr>
            <w:top w:val="none" w:sz="0" w:space="0" w:color="auto"/>
            <w:left w:val="none" w:sz="0" w:space="0" w:color="auto"/>
            <w:bottom w:val="none" w:sz="0" w:space="0" w:color="auto"/>
            <w:right w:val="none" w:sz="0" w:space="0" w:color="auto"/>
          </w:divBdr>
          <w:divsChild>
            <w:div w:id="119956348">
              <w:marLeft w:val="0"/>
              <w:marRight w:val="0"/>
              <w:marTop w:val="0"/>
              <w:marBottom w:val="0"/>
              <w:divBdr>
                <w:top w:val="none" w:sz="0" w:space="0" w:color="auto"/>
                <w:left w:val="none" w:sz="0" w:space="0" w:color="auto"/>
                <w:bottom w:val="none" w:sz="0" w:space="0" w:color="auto"/>
                <w:right w:val="none" w:sz="0" w:space="0" w:color="auto"/>
              </w:divBdr>
              <w:divsChild>
                <w:div w:id="1188373904">
                  <w:marLeft w:val="0"/>
                  <w:marRight w:val="0"/>
                  <w:marTop w:val="0"/>
                  <w:marBottom w:val="0"/>
                  <w:divBdr>
                    <w:top w:val="none" w:sz="0" w:space="0" w:color="auto"/>
                    <w:left w:val="none" w:sz="0" w:space="0" w:color="auto"/>
                    <w:bottom w:val="none" w:sz="0" w:space="0" w:color="auto"/>
                    <w:right w:val="none" w:sz="0" w:space="0" w:color="auto"/>
                  </w:divBdr>
                  <w:divsChild>
                    <w:div w:id="17767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da.gov/RegulatoryInformation/Guidances/ucm126424.htm" TargetMode="External"/><Relationship Id="rId4" Type="http://schemas.microsoft.com/office/2007/relationships/stylesWithEffects" Target="stylesWithEffects.xml"/><Relationship Id="rId9" Type="http://schemas.openxmlformats.org/officeDocument/2006/relationships/hyperlink" Target="http://www.fda.gov/downloads/RegulatoryInformation/Guidances/UCM197347.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C9E8A-46C5-4DB1-90CC-2312F27E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3649</Words>
  <Characters>20070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Erick Roel</cp:lastModifiedBy>
  <cp:revision>6</cp:revision>
  <cp:lastPrinted>2011-08-18T16:40:00Z</cp:lastPrinted>
  <dcterms:created xsi:type="dcterms:W3CDTF">2022-09-08T18:46:00Z</dcterms:created>
  <dcterms:modified xsi:type="dcterms:W3CDTF">2023-08-01T15:16:00Z</dcterms:modified>
</cp:coreProperties>
</file>