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E3" w:rsidRDefault="009B37E3"/>
    <w:p w:rsidR="00F11BB4" w:rsidRPr="009D278D" w:rsidRDefault="00F11BB4" w:rsidP="008F01F0">
      <w:pPr>
        <w:contextualSpacing/>
        <w:jc w:val="both"/>
        <w:rPr>
          <w:rFonts w:ascii="Arial" w:hAnsi="Arial" w:cs="Arial"/>
        </w:rPr>
      </w:pPr>
    </w:p>
    <w:p w:rsidR="00F11BB4" w:rsidRPr="006C77D1" w:rsidRDefault="00803517" w:rsidP="008F01F0">
      <w:pPr>
        <w:contextualSpacing/>
        <w:jc w:val="both"/>
        <w:rPr>
          <w:rFonts w:ascii="Arial" w:hAnsi="Arial" w:cs="Arial"/>
          <w:b/>
          <w:lang w:val="es-MX"/>
        </w:rPr>
      </w:pPr>
      <w:r w:rsidRPr="006C77D1">
        <w:rPr>
          <w:rFonts w:ascii="Arial" w:hAnsi="Arial" w:cs="Arial"/>
          <w:b/>
          <w:bCs/>
          <w:lang w:val="es-MX"/>
        </w:rPr>
        <w:t>I. OBJET</w:t>
      </w:r>
      <w:r w:rsidR="006C77D1">
        <w:rPr>
          <w:rFonts w:ascii="Arial" w:hAnsi="Arial" w:cs="Arial"/>
          <w:b/>
          <w:bCs/>
          <w:lang w:val="es-MX"/>
        </w:rPr>
        <w:t>IVOS</w:t>
      </w:r>
    </w:p>
    <w:p w:rsidR="004D1894" w:rsidRPr="006C77D1" w:rsidRDefault="00803517" w:rsidP="00D43606">
      <w:pPr>
        <w:ind w:left="708"/>
        <w:contextualSpacing/>
        <w:jc w:val="both"/>
        <w:rPr>
          <w:rFonts w:ascii="Arial" w:hAnsi="Arial" w:cs="Arial"/>
          <w:lang w:val="es-MX"/>
        </w:rPr>
      </w:pPr>
      <w:r w:rsidRPr="006C77D1">
        <w:rPr>
          <w:rFonts w:ascii="Arial" w:hAnsi="Arial" w:cs="Arial"/>
          <w:lang w:val="es-MX"/>
        </w:rPr>
        <w:t xml:space="preserve">I.1 Describir el proceso de </w:t>
      </w:r>
      <w:r w:rsidR="006C77D1">
        <w:rPr>
          <w:rFonts w:ascii="Arial" w:hAnsi="Arial" w:cs="Arial"/>
          <w:lang w:val="es-MX"/>
        </w:rPr>
        <w:t>sometimiento</w:t>
      </w:r>
      <w:r w:rsidRPr="006C77D1">
        <w:rPr>
          <w:rFonts w:ascii="Arial" w:hAnsi="Arial" w:cs="Arial"/>
          <w:lang w:val="es-MX"/>
        </w:rPr>
        <w:t xml:space="preserve"> </w:t>
      </w:r>
      <w:r w:rsidR="006C77D1">
        <w:rPr>
          <w:rFonts w:ascii="Arial" w:hAnsi="Arial" w:cs="Arial"/>
          <w:lang w:val="es-MX"/>
        </w:rPr>
        <w:t>de</w:t>
      </w:r>
      <w:r w:rsidRPr="006C77D1">
        <w:rPr>
          <w:rFonts w:ascii="Arial" w:hAnsi="Arial" w:cs="Arial"/>
          <w:lang w:val="es-MX"/>
        </w:rPr>
        <w:t xml:space="preserve"> sitios externos para un </w:t>
      </w:r>
      <w:r w:rsidR="006C77D1">
        <w:rPr>
          <w:rFonts w:ascii="Arial" w:hAnsi="Arial" w:cs="Arial"/>
          <w:lang w:val="es-MX"/>
        </w:rPr>
        <w:t>estudio</w:t>
      </w:r>
      <w:r w:rsidRPr="006C77D1">
        <w:rPr>
          <w:rFonts w:ascii="Arial" w:hAnsi="Arial" w:cs="Arial"/>
          <w:lang w:val="es-MX"/>
        </w:rPr>
        <w:t xml:space="preserve"> de </w:t>
      </w:r>
      <w:r w:rsidR="006C77D1">
        <w:rPr>
          <w:rFonts w:ascii="Arial" w:hAnsi="Arial" w:cs="Arial"/>
          <w:lang w:val="es-MX"/>
        </w:rPr>
        <w:t>i</w:t>
      </w:r>
      <w:r w:rsidRPr="006C77D1">
        <w:rPr>
          <w:rFonts w:ascii="Arial" w:hAnsi="Arial" w:cs="Arial"/>
          <w:lang w:val="es-MX"/>
        </w:rPr>
        <w:t>nvestigación.</w:t>
      </w:r>
    </w:p>
    <w:p w:rsidR="00D21E35" w:rsidRPr="006C77D1" w:rsidRDefault="00D21E35" w:rsidP="006C77D1">
      <w:pPr>
        <w:ind w:left="708"/>
        <w:contextualSpacing/>
        <w:jc w:val="both"/>
        <w:rPr>
          <w:rFonts w:ascii="Arial" w:hAnsi="Arial" w:cs="Arial"/>
          <w:lang w:val="es-MX"/>
        </w:rPr>
      </w:pPr>
      <w:r w:rsidRPr="006C77D1">
        <w:rPr>
          <w:rFonts w:ascii="Arial" w:hAnsi="Arial" w:cs="Arial"/>
          <w:lang w:val="es-MX"/>
        </w:rPr>
        <w:t xml:space="preserve">I.2. </w:t>
      </w:r>
      <w:r w:rsidR="006C77D1">
        <w:rPr>
          <w:rFonts w:ascii="Arial" w:hAnsi="Arial" w:cs="Arial"/>
          <w:lang w:val="es-MX"/>
        </w:rPr>
        <w:t>Este proceso inicial una vez que se acepta el registro del estudio de investigación.</w:t>
      </w:r>
    </w:p>
    <w:p w:rsidR="007652DF" w:rsidRPr="006C77D1" w:rsidRDefault="00D21E35" w:rsidP="006C77D1">
      <w:pPr>
        <w:ind w:left="708"/>
        <w:contextualSpacing/>
        <w:jc w:val="both"/>
        <w:rPr>
          <w:rFonts w:ascii="Arial" w:hAnsi="Arial" w:cs="Arial"/>
          <w:lang w:val="es-MX"/>
        </w:rPr>
      </w:pPr>
      <w:r w:rsidRPr="006C77D1">
        <w:rPr>
          <w:rFonts w:ascii="Arial" w:hAnsi="Arial" w:cs="Arial"/>
          <w:lang w:val="es-MX"/>
        </w:rPr>
        <w:t xml:space="preserve">I.3. </w:t>
      </w:r>
      <w:r w:rsidR="006C77D1">
        <w:rPr>
          <w:rFonts w:ascii="Arial" w:hAnsi="Arial" w:cs="Arial"/>
          <w:lang w:val="es-MX"/>
        </w:rPr>
        <w:t>Este proceso termina cuando el materia</w:t>
      </w:r>
      <w:r w:rsidR="00171EF4">
        <w:rPr>
          <w:rFonts w:ascii="Arial" w:hAnsi="Arial" w:cs="Arial"/>
          <w:lang w:val="es-MX"/>
        </w:rPr>
        <w:t>l</w:t>
      </w:r>
      <w:r w:rsidR="006C77D1">
        <w:rPr>
          <w:rFonts w:ascii="Arial" w:hAnsi="Arial" w:cs="Arial"/>
          <w:lang w:val="es-MX"/>
        </w:rPr>
        <w:t xml:space="preserve"> se almacena para su resguardo por un periodo de 3 años después del inicio de la com</w:t>
      </w:r>
      <w:r w:rsidR="00171EF4">
        <w:rPr>
          <w:rFonts w:ascii="Arial" w:hAnsi="Arial" w:cs="Arial"/>
          <w:lang w:val="es-MX"/>
        </w:rPr>
        <w:t>erc</w:t>
      </w:r>
      <w:r w:rsidR="006C77D1">
        <w:rPr>
          <w:rFonts w:ascii="Arial" w:hAnsi="Arial" w:cs="Arial"/>
          <w:lang w:val="es-MX"/>
        </w:rPr>
        <w:t>ialización del producto.</w:t>
      </w:r>
    </w:p>
    <w:p w:rsidR="007652DF" w:rsidRPr="006C77D1" w:rsidRDefault="007652DF" w:rsidP="007652DF">
      <w:pPr>
        <w:ind w:firstLine="708"/>
        <w:contextualSpacing/>
        <w:jc w:val="both"/>
        <w:rPr>
          <w:rFonts w:ascii="Arial" w:hAnsi="Arial" w:cs="Arial"/>
          <w:lang w:val="es-MX"/>
        </w:rPr>
      </w:pPr>
      <w:r w:rsidRPr="006C77D1">
        <w:rPr>
          <w:rFonts w:ascii="Arial" w:hAnsi="Arial" w:cs="Arial"/>
          <w:lang w:val="es-MX"/>
        </w:rPr>
        <w:t xml:space="preserve">1.4 </w:t>
      </w:r>
      <w:r w:rsidR="006C77D1">
        <w:rPr>
          <w:rFonts w:ascii="Arial" w:hAnsi="Arial" w:cs="Arial"/>
          <w:lang w:val="es-MX"/>
        </w:rPr>
        <w:t>Auditorías</w:t>
      </w:r>
      <w:r w:rsidRPr="006C77D1">
        <w:rPr>
          <w:rFonts w:ascii="Arial" w:hAnsi="Arial" w:cs="Arial"/>
          <w:lang w:val="es-MX"/>
        </w:rPr>
        <w:t xml:space="preserve"> y acreditación del sitio de investigación.</w:t>
      </w:r>
    </w:p>
    <w:p w:rsidR="007652DF" w:rsidRPr="006C77D1" w:rsidRDefault="007652DF" w:rsidP="007652DF">
      <w:pPr>
        <w:ind w:left="708"/>
        <w:contextualSpacing/>
        <w:jc w:val="both"/>
        <w:rPr>
          <w:rFonts w:ascii="Arial" w:hAnsi="Arial" w:cs="Arial"/>
          <w:lang w:val="es-MX"/>
        </w:rPr>
      </w:pPr>
      <w:r w:rsidRPr="006C77D1">
        <w:rPr>
          <w:rFonts w:ascii="Arial" w:hAnsi="Arial" w:cs="Arial"/>
          <w:lang w:val="es-MX"/>
        </w:rPr>
        <w:t>1.5 Documentos extra</w:t>
      </w:r>
      <w:r w:rsidR="006C77D1">
        <w:rPr>
          <w:rFonts w:ascii="Arial" w:hAnsi="Arial" w:cs="Arial"/>
          <w:lang w:val="es-MX"/>
        </w:rPr>
        <w:t>s</w:t>
      </w:r>
      <w:r w:rsidRPr="006C77D1">
        <w:rPr>
          <w:rFonts w:ascii="Arial" w:hAnsi="Arial" w:cs="Arial"/>
          <w:lang w:val="es-MX"/>
        </w:rPr>
        <w:t xml:space="preserve"> requeridos si el </w:t>
      </w:r>
      <w:r w:rsidR="006C77D1">
        <w:rPr>
          <w:rFonts w:ascii="Arial" w:hAnsi="Arial" w:cs="Arial"/>
          <w:lang w:val="es-MX"/>
        </w:rPr>
        <w:t>estudio de investigación</w:t>
      </w:r>
      <w:r w:rsidR="006C77D1" w:rsidRPr="006C77D1">
        <w:rPr>
          <w:rFonts w:ascii="Arial" w:hAnsi="Arial" w:cs="Arial"/>
          <w:lang w:val="es-MX"/>
        </w:rPr>
        <w:t xml:space="preserve"> </w:t>
      </w:r>
      <w:r w:rsidR="006C77D1">
        <w:rPr>
          <w:rFonts w:ascii="Arial" w:hAnsi="Arial" w:cs="Arial"/>
          <w:lang w:val="es-MX"/>
        </w:rPr>
        <w:t>proviene de una i</w:t>
      </w:r>
      <w:r w:rsidRPr="006C77D1">
        <w:rPr>
          <w:rFonts w:ascii="Arial" w:hAnsi="Arial" w:cs="Arial"/>
          <w:lang w:val="es-MX"/>
        </w:rPr>
        <w:t>nstitución externa para ser aprobado por nuestros Comités.</w:t>
      </w:r>
    </w:p>
    <w:p w:rsidR="007652DF" w:rsidRPr="006C77D1" w:rsidRDefault="007652DF" w:rsidP="008F01F0">
      <w:pPr>
        <w:ind w:firstLine="708"/>
        <w:contextualSpacing/>
        <w:jc w:val="both"/>
        <w:rPr>
          <w:rFonts w:ascii="Arial" w:hAnsi="Arial" w:cs="Arial"/>
          <w:lang w:val="es-MX"/>
        </w:rPr>
      </w:pPr>
    </w:p>
    <w:p w:rsidR="00803517" w:rsidRPr="006C77D1" w:rsidRDefault="00803517" w:rsidP="008F01F0">
      <w:pPr>
        <w:contextualSpacing/>
        <w:jc w:val="both"/>
        <w:rPr>
          <w:rFonts w:ascii="Arial" w:hAnsi="Arial" w:cs="Arial"/>
          <w:b/>
          <w:lang w:val="es-MX"/>
        </w:rPr>
      </w:pPr>
    </w:p>
    <w:p w:rsidR="00803517" w:rsidRPr="006C77D1" w:rsidRDefault="00803517" w:rsidP="008F01F0">
      <w:pPr>
        <w:contextualSpacing/>
        <w:jc w:val="both"/>
        <w:rPr>
          <w:rFonts w:ascii="Arial" w:hAnsi="Arial" w:cs="Arial"/>
          <w:b/>
          <w:lang w:val="es-MX"/>
        </w:rPr>
      </w:pPr>
      <w:r w:rsidRPr="006C77D1">
        <w:rPr>
          <w:rFonts w:ascii="Arial" w:hAnsi="Arial" w:cs="Arial"/>
          <w:b/>
          <w:bCs/>
          <w:lang w:val="es-MX"/>
        </w:rPr>
        <w:t>II. REVISIÓN DE VERSIONES ANTERIORES</w:t>
      </w:r>
    </w:p>
    <w:p w:rsidR="00BC6025" w:rsidRPr="006C77D1" w:rsidRDefault="00BC6025" w:rsidP="00BC6025">
      <w:pPr>
        <w:ind w:left="708"/>
        <w:contextualSpacing/>
        <w:jc w:val="both"/>
        <w:rPr>
          <w:rFonts w:ascii="Arial" w:hAnsi="Arial" w:cs="Arial"/>
          <w:lang w:val="es-MX"/>
        </w:rPr>
      </w:pPr>
    </w:p>
    <w:p w:rsidR="00BC6025" w:rsidRPr="006C77D1" w:rsidRDefault="00D43606" w:rsidP="00BC6025">
      <w:pPr>
        <w:ind w:left="708"/>
        <w:contextualSpacing/>
        <w:jc w:val="both"/>
        <w:rPr>
          <w:rFonts w:ascii="Arial" w:hAnsi="Arial" w:cs="Arial"/>
          <w:lang w:val="es-MX"/>
        </w:rPr>
      </w:pPr>
      <w:r w:rsidRPr="006C77D1">
        <w:rPr>
          <w:rFonts w:ascii="Arial" w:hAnsi="Arial" w:cs="Arial"/>
          <w:lang w:val="es-MX"/>
        </w:rPr>
        <w:t>N / A</w:t>
      </w:r>
    </w:p>
    <w:p w:rsidR="00803517" w:rsidRPr="006C77D1" w:rsidRDefault="00803517" w:rsidP="008F01F0">
      <w:pPr>
        <w:contextualSpacing/>
        <w:jc w:val="both"/>
        <w:rPr>
          <w:rFonts w:ascii="Arial" w:hAnsi="Arial" w:cs="Arial"/>
          <w:b/>
          <w:lang w:val="es-MX"/>
        </w:rPr>
      </w:pPr>
    </w:p>
    <w:p w:rsidR="00803517" w:rsidRPr="006C77D1" w:rsidRDefault="006C77D1" w:rsidP="008F01F0">
      <w:pPr>
        <w:contextualSpacing/>
        <w:jc w:val="both"/>
        <w:rPr>
          <w:rFonts w:ascii="Arial" w:hAnsi="Arial" w:cs="Arial"/>
          <w:b/>
          <w:lang w:val="es-MX"/>
        </w:rPr>
      </w:pPr>
      <w:r>
        <w:rPr>
          <w:rFonts w:ascii="Arial" w:hAnsi="Arial" w:cs="Arial"/>
          <w:b/>
          <w:bCs/>
          <w:lang w:val="es-MX"/>
        </w:rPr>
        <w:t>III.</w:t>
      </w:r>
      <w:r w:rsidR="00803517" w:rsidRPr="006C77D1">
        <w:rPr>
          <w:rFonts w:ascii="Arial" w:hAnsi="Arial" w:cs="Arial"/>
          <w:b/>
          <w:bCs/>
          <w:lang w:val="es-MX"/>
        </w:rPr>
        <w:t>POLÍTICAS</w:t>
      </w:r>
    </w:p>
    <w:p w:rsidR="005E10C3" w:rsidRPr="006C77D1" w:rsidRDefault="005E10C3" w:rsidP="008F01F0">
      <w:pPr>
        <w:contextualSpacing/>
        <w:jc w:val="both"/>
        <w:rPr>
          <w:rFonts w:ascii="Arial" w:hAnsi="Arial" w:cs="Arial"/>
          <w:b/>
          <w:lang w:val="es-MX"/>
        </w:rPr>
      </w:pPr>
    </w:p>
    <w:p w:rsidR="001B28CA" w:rsidRPr="006C77D1" w:rsidRDefault="001B28CA" w:rsidP="00B57FCC">
      <w:pPr>
        <w:pStyle w:val="level1bodystyle"/>
        <w:ind w:left="709"/>
        <w:contextualSpacing/>
        <w:jc w:val="both"/>
        <w:rPr>
          <w:lang w:val="es-MX"/>
        </w:rPr>
      </w:pPr>
      <w:r w:rsidRPr="006C77D1">
        <w:rPr>
          <w:lang w:val="es-MX"/>
        </w:rPr>
        <w:t xml:space="preserve">Este procedimiento se ha hecho para ser más explícito sobre los documentos extra, situaciones o eventos que pueden ocurrir en un sitio externo. Cualquier sitio externo tiene que seguir todas nuestras políticas y procedimientos de la misma manera que </w:t>
      </w:r>
      <w:r w:rsidR="006C77D1">
        <w:rPr>
          <w:lang w:val="es-MX"/>
        </w:rPr>
        <w:t>nuestros sitios internos</w:t>
      </w:r>
      <w:r w:rsidRPr="006C77D1">
        <w:rPr>
          <w:lang w:val="es-MX"/>
        </w:rPr>
        <w:t>.</w:t>
      </w:r>
    </w:p>
    <w:p w:rsidR="001B28CA" w:rsidRPr="006C77D1" w:rsidRDefault="001B28CA" w:rsidP="00B57FCC">
      <w:pPr>
        <w:pStyle w:val="level1bodystyle"/>
        <w:ind w:left="709"/>
        <w:contextualSpacing/>
        <w:jc w:val="both"/>
        <w:rPr>
          <w:lang w:val="es-MX"/>
        </w:rPr>
      </w:pPr>
    </w:p>
    <w:p w:rsidR="006C77D1" w:rsidRPr="00D328D0" w:rsidRDefault="006C77D1" w:rsidP="006C77D1">
      <w:pPr>
        <w:pStyle w:val="level1bodystyle"/>
        <w:spacing w:after="0"/>
        <w:ind w:left="708"/>
        <w:jc w:val="both"/>
        <w:rPr>
          <w:lang w:val="es-MX"/>
        </w:rPr>
      </w:pPr>
      <w:r w:rsidRPr="00D328D0">
        <w:rPr>
          <w:lang w:val="es-MX"/>
        </w:rPr>
        <w:t xml:space="preserve">Los miembros del </w:t>
      </w:r>
      <w:r>
        <w:rPr>
          <w:lang w:val="es-MX"/>
        </w:rPr>
        <w:t xml:space="preserve">CEI </w:t>
      </w:r>
      <w:r w:rsidRPr="00D328D0">
        <w:rPr>
          <w:lang w:val="es-MX"/>
        </w:rPr>
        <w:t xml:space="preserve">a menudo confían solamente en la documentación sometida por los investigadores para la revisión inicial y de continuación. Por lo tanto, este material debe proveer a los miembros del </w:t>
      </w:r>
      <w:r>
        <w:rPr>
          <w:lang w:val="es-MX"/>
        </w:rPr>
        <w:t>CEI</w:t>
      </w:r>
      <w:r w:rsidRPr="00D328D0">
        <w:rPr>
          <w:lang w:val="es-MX"/>
        </w:rPr>
        <w:t xml:space="preserve"> de información suficiente sobre un estudio, para determinar si cumple adecuadamente con los criterios del </w:t>
      </w:r>
      <w:r>
        <w:rPr>
          <w:lang w:val="es-MX"/>
        </w:rPr>
        <w:t>CEI</w:t>
      </w:r>
      <w:r w:rsidRPr="00D328D0">
        <w:rPr>
          <w:lang w:val="es-MX"/>
        </w:rPr>
        <w:t xml:space="preserve">  para la aprobación, para de esta forma darle cumplimiento a lo establecido en el Artículo 116 de la Ley General de Salud en Materia de Investigación, así como por los Códigos Federales de regulación de la FDA y del Departamento de Salud de los Estados Unidos.</w:t>
      </w:r>
    </w:p>
    <w:p w:rsidR="006C77D1" w:rsidRPr="00D328D0" w:rsidRDefault="006C77D1" w:rsidP="006C77D1">
      <w:pPr>
        <w:pStyle w:val="level1bodystyle"/>
        <w:spacing w:after="0"/>
        <w:jc w:val="both"/>
        <w:rPr>
          <w:lang w:val="es-MX"/>
        </w:rPr>
      </w:pPr>
    </w:p>
    <w:p w:rsidR="006C77D1" w:rsidRPr="00D328D0" w:rsidRDefault="006C77D1" w:rsidP="006C77D1">
      <w:pPr>
        <w:pStyle w:val="level1bodystyle"/>
        <w:spacing w:after="0"/>
        <w:ind w:left="708"/>
        <w:jc w:val="both"/>
        <w:rPr>
          <w:lang w:val="es-MX"/>
        </w:rPr>
      </w:pPr>
      <w:r w:rsidRPr="00D328D0">
        <w:rPr>
          <w:lang w:val="es-MX"/>
        </w:rPr>
        <w:t xml:space="preserve">El protocolo sometido será programado para revisión por el </w:t>
      </w:r>
      <w:r>
        <w:rPr>
          <w:lang w:val="es-MX"/>
        </w:rPr>
        <w:t>CEI</w:t>
      </w:r>
      <w:r w:rsidRPr="00D328D0">
        <w:rPr>
          <w:lang w:val="es-MX"/>
        </w:rPr>
        <w:t xml:space="preserve"> cuando el personal determine que la información y materiales sometidos presentan una descripción adecuada de la investigación propuesta.</w:t>
      </w:r>
    </w:p>
    <w:p w:rsidR="001B28CA" w:rsidRPr="006C77D1" w:rsidRDefault="001B28CA" w:rsidP="00B57FCC">
      <w:pPr>
        <w:pStyle w:val="level1bodystyle"/>
        <w:spacing w:after="0"/>
        <w:ind w:left="709"/>
        <w:contextualSpacing/>
        <w:jc w:val="both"/>
        <w:rPr>
          <w:lang w:val="es-MX"/>
        </w:rPr>
      </w:pPr>
    </w:p>
    <w:p w:rsidR="00EA782D" w:rsidRPr="006C77D1" w:rsidRDefault="006C77D1" w:rsidP="00EA782D">
      <w:pPr>
        <w:pStyle w:val="level1bodystyle"/>
        <w:spacing w:after="0"/>
        <w:ind w:left="709"/>
        <w:contextualSpacing/>
        <w:jc w:val="both"/>
        <w:rPr>
          <w:lang w:val="es-MX"/>
        </w:rPr>
      </w:pPr>
      <w:r>
        <w:rPr>
          <w:lang w:val="es-MX"/>
        </w:rPr>
        <w:lastRenderedPageBreak/>
        <w:t>Antes del sometimiento</w:t>
      </w:r>
      <w:r w:rsidR="00EA782D" w:rsidRPr="006C77D1">
        <w:rPr>
          <w:lang w:val="es-MX"/>
        </w:rPr>
        <w:t>, la Coordinación de Control de Calidad habla con el investigador externo para responder sus preguntas, educarlos sobre nuestros procedimientos (porque deben seguir los mismos procedimientos que todos nuestros sitios internos), nuestro sitio web, dónde encontrar los documentos que puedan necesit</w:t>
      </w:r>
      <w:r>
        <w:rPr>
          <w:lang w:val="es-MX"/>
        </w:rPr>
        <w:t>ar</w:t>
      </w:r>
      <w:r w:rsidR="00EA782D" w:rsidRPr="006C77D1">
        <w:rPr>
          <w:lang w:val="es-MX"/>
        </w:rPr>
        <w:t xml:space="preserve"> a lo largo de su investigación y resolver cualquier otro problema o duda que pueda tener. La Coordinación de Control de Calidad facilitará los datos de contacto para cualquier duda adicional que puedan tener durante la realización de la investigación clínica.</w:t>
      </w:r>
    </w:p>
    <w:p w:rsidR="0084626A" w:rsidRPr="006C77D1" w:rsidRDefault="0084626A" w:rsidP="008F01F0">
      <w:pPr>
        <w:pStyle w:val="Ttulo2"/>
        <w:contextualSpacing/>
        <w:jc w:val="both"/>
        <w:rPr>
          <w:rFonts w:ascii="Arial" w:hAnsi="Arial" w:cs="Arial"/>
          <w:color w:val="auto"/>
          <w:lang w:val="es-MX"/>
        </w:rPr>
      </w:pPr>
      <w:r w:rsidRPr="006C77D1">
        <w:rPr>
          <w:rFonts w:ascii="Arial" w:hAnsi="Arial" w:cs="Arial"/>
          <w:color w:val="auto"/>
          <w:sz w:val="24"/>
          <w:lang w:val="es-MX"/>
        </w:rPr>
        <w:t>Políticas específicas</w:t>
      </w:r>
    </w:p>
    <w:p w:rsidR="006C77D1" w:rsidRPr="00D328D0" w:rsidRDefault="006C77D1" w:rsidP="006C77D1">
      <w:pPr>
        <w:pStyle w:val="Ttulo2"/>
        <w:ind w:left="576"/>
        <w:jc w:val="both"/>
        <w:rPr>
          <w:rFonts w:ascii="Arial" w:hAnsi="Arial" w:cs="Arial"/>
          <w:color w:val="auto"/>
          <w:lang w:val="es-MX"/>
        </w:rPr>
      </w:pPr>
      <w:r w:rsidRPr="00D328D0">
        <w:rPr>
          <w:rFonts w:ascii="Arial" w:hAnsi="Arial" w:cs="Arial"/>
          <w:color w:val="auto"/>
          <w:sz w:val="24"/>
          <w:lang w:val="es-MX"/>
        </w:rPr>
        <w:t>1.1 Requisitos para el sometimiento de la revisión inicial</w:t>
      </w:r>
    </w:p>
    <w:p w:rsidR="0084626A" w:rsidRPr="006C77D1" w:rsidRDefault="0084626A" w:rsidP="008F01F0">
      <w:pPr>
        <w:pStyle w:val="List-Level3"/>
        <w:contextualSpacing/>
        <w:jc w:val="both"/>
        <w:rPr>
          <w:lang w:val="es-MX"/>
        </w:rPr>
      </w:pPr>
      <w:r w:rsidRPr="006C77D1">
        <w:rPr>
          <w:lang w:val="es-MX"/>
        </w:rPr>
        <w:t>1.1.1 Requisitos: Los investigadores externos que solicit</w:t>
      </w:r>
      <w:r w:rsidR="006C77D1">
        <w:rPr>
          <w:lang w:val="es-MX"/>
        </w:rPr>
        <w:t xml:space="preserve">en la aprobación inicial de un estudio </w:t>
      </w:r>
      <w:r w:rsidRPr="006C77D1">
        <w:rPr>
          <w:lang w:val="es-MX"/>
        </w:rPr>
        <w:t>de investigación biomédica o de comportamiento social deben presentar:</w:t>
      </w:r>
    </w:p>
    <w:p w:rsidR="00D43606" w:rsidRPr="006C77D1" w:rsidRDefault="00D43606" w:rsidP="008F01F0">
      <w:pPr>
        <w:pStyle w:val="List-Level3"/>
        <w:contextualSpacing/>
        <w:jc w:val="both"/>
        <w:rPr>
          <w:lang w:val="es-MX"/>
        </w:rPr>
      </w:pPr>
    </w:p>
    <w:p w:rsidR="00D43606" w:rsidRPr="006C77D1" w:rsidRDefault="00D43606" w:rsidP="00D43606">
      <w:pPr>
        <w:pStyle w:val="List-Level3"/>
        <w:numPr>
          <w:ilvl w:val="0"/>
          <w:numId w:val="40"/>
        </w:numPr>
        <w:contextualSpacing/>
        <w:jc w:val="both"/>
        <w:rPr>
          <w:lang w:val="es-MX"/>
        </w:rPr>
      </w:pPr>
      <w:r w:rsidRPr="006C77D1">
        <w:rPr>
          <w:lang w:val="es-MX"/>
        </w:rPr>
        <w:t xml:space="preserve">Completar </w:t>
      </w:r>
      <w:r w:rsidR="006C77D1">
        <w:rPr>
          <w:lang w:val="es-MX"/>
        </w:rPr>
        <w:t>el formato</w:t>
      </w:r>
      <w:r w:rsidRPr="006C77D1">
        <w:rPr>
          <w:lang w:val="es-MX"/>
        </w:rPr>
        <w:t xml:space="preserve"> de Solicitud de Autorización.</w:t>
      </w:r>
    </w:p>
    <w:p w:rsidR="00D43606" w:rsidRPr="006C77D1" w:rsidRDefault="00D43606" w:rsidP="00D43606">
      <w:pPr>
        <w:pStyle w:val="List-Level3"/>
        <w:numPr>
          <w:ilvl w:val="0"/>
          <w:numId w:val="40"/>
        </w:numPr>
        <w:contextualSpacing/>
        <w:jc w:val="both"/>
        <w:rPr>
          <w:lang w:val="es-MX"/>
        </w:rPr>
      </w:pPr>
      <w:r w:rsidRPr="006C77D1">
        <w:rPr>
          <w:lang w:val="es-MX"/>
        </w:rPr>
        <w:t>Protocolo escrito extenso (cumpliendo con lo establecido en la NOM-012-SSA3-2012, Numerales 5.2, 5.6, 5.10, 6.2, 6.2.1 al 6.2.12).</w:t>
      </w:r>
    </w:p>
    <w:p w:rsidR="00D43606" w:rsidRPr="006C77D1" w:rsidRDefault="00D43606" w:rsidP="00D43606">
      <w:pPr>
        <w:pStyle w:val="List-Level3"/>
        <w:numPr>
          <w:ilvl w:val="0"/>
          <w:numId w:val="40"/>
        </w:numPr>
        <w:contextualSpacing/>
        <w:jc w:val="both"/>
        <w:rPr>
          <w:lang w:val="es-MX"/>
        </w:rPr>
      </w:pPr>
      <w:r w:rsidRPr="006C77D1">
        <w:rPr>
          <w:lang w:val="es-MX"/>
        </w:rPr>
        <w:t>Formulario de Consentimiento Informado y Asentimiento Informado (si aplica).</w:t>
      </w:r>
    </w:p>
    <w:p w:rsidR="00D43606" w:rsidRPr="006C77D1" w:rsidRDefault="00D43606" w:rsidP="00D43606">
      <w:pPr>
        <w:pStyle w:val="List-Level3"/>
        <w:numPr>
          <w:ilvl w:val="0"/>
          <w:numId w:val="40"/>
        </w:numPr>
        <w:contextualSpacing/>
        <w:jc w:val="both"/>
        <w:rPr>
          <w:lang w:val="es-MX"/>
        </w:rPr>
      </w:pPr>
      <w:r w:rsidRPr="006C77D1">
        <w:rPr>
          <w:lang w:val="es-MX"/>
        </w:rPr>
        <w:t>Manual del investigador (si corresponde).</w:t>
      </w:r>
    </w:p>
    <w:p w:rsidR="00D43606" w:rsidRPr="006C77D1" w:rsidRDefault="00D43606" w:rsidP="00D43606">
      <w:pPr>
        <w:pStyle w:val="List-Level3"/>
        <w:numPr>
          <w:ilvl w:val="0"/>
          <w:numId w:val="40"/>
        </w:numPr>
        <w:contextualSpacing/>
        <w:jc w:val="both"/>
        <w:rPr>
          <w:lang w:val="es-MX"/>
        </w:rPr>
      </w:pPr>
      <w:r w:rsidRPr="006C77D1">
        <w:rPr>
          <w:lang w:val="es-MX"/>
        </w:rPr>
        <w:t>Todo el material que se le suministrará al sujeto de investigación como diarios, cuestionarios, fichas de citas, etc.</w:t>
      </w:r>
    </w:p>
    <w:p w:rsidR="00D43606" w:rsidRPr="006C77D1" w:rsidRDefault="00D43606" w:rsidP="00D43606">
      <w:pPr>
        <w:pStyle w:val="List-Level3"/>
        <w:numPr>
          <w:ilvl w:val="0"/>
          <w:numId w:val="40"/>
        </w:numPr>
        <w:contextualSpacing/>
        <w:jc w:val="both"/>
        <w:rPr>
          <w:lang w:val="es-MX"/>
        </w:rPr>
      </w:pPr>
      <w:r w:rsidRPr="006C77D1">
        <w:rPr>
          <w:lang w:val="es-MX"/>
        </w:rPr>
        <w:t xml:space="preserve">Formato de </w:t>
      </w:r>
      <w:r w:rsidR="006C77D1">
        <w:rPr>
          <w:lang w:val="es-MX"/>
        </w:rPr>
        <w:t>listado de documentos</w:t>
      </w:r>
    </w:p>
    <w:p w:rsidR="00D43606" w:rsidRPr="006C77D1" w:rsidRDefault="00D43606" w:rsidP="00D43606">
      <w:pPr>
        <w:pStyle w:val="List-Level3"/>
        <w:numPr>
          <w:ilvl w:val="0"/>
          <w:numId w:val="40"/>
        </w:numPr>
        <w:contextualSpacing/>
        <w:jc w:val="both"/>
        <w:rPr>
          <w:lang w:val="es-MX"/>
        </w:rPr>
      </w:pPr>
      <w:r w:rsidRPr="006C77D1">
        <w:rPr>
          <w:lang w:val="es-MX"/>
        </w:rPr>
        <w:t>Hoja de Presupuesto (</w:t>
      </w:r>
      <w:r w:rsidR="006C77D1" w:rsidRPr="006C77D1">
        <w:rPr>
          <w:lang w:val="es-MX"/>
        </w:rPr>
        <w:t>con vinculación al sector productivo si aplica</w:t>
      </w:r>
      <w:r w:rsidRPr="006C77D1">
        <w:rPr>
          <w:lang w:val="es-MX"/>
        </w:rPr>
        <w:t>).</w:t>
      </w:r>
    </w:p>
    <w:p w:rsidR="00D43606" w:rsidRPr="006C77D1" w:rsidRDefault="00D43606" w:rsidP="00D43606">
      <w:pPr>
        <w:pStyle w:val="List-Level3"/>
        <w:numPr>
          <w:ilvl w:val="0"/>
          <w:numId w:val="40"/>
        </w:numPr>
        <w:contextualSpacing/>
        <w:jc w:val="both"/>
        <w:rPr>
          <w:lang w:val="es-MX"/>
        </w:rPr>
      </w:pPr>
      <w:r w:rsidRPr="006C77D1">
        <w:rPr>
          <w:lang w:val="es-MX"/>
        </w:rPr>
        <w:t xml:space="preserve">Resumen del </w:t>
      </w:r>
      <w:proofErr w:type="spellStart"/>
      <w:r w:rsidRPr="006C77D1">
        <w:rPr>
          <w:lang w:val="es-MX"/>
        </w:rPr>
        <w:t>Curriculum</w:t>
      </w:r>
      <w:proofErr w:type="spellEnd"/>
      <w:r w:rsidRPr="006C77D1">
        <w:rPr>
          <w:lang w:val="es-MX"/>
        </w:rPr>
        <w:t xml:space="preserve"> Vitae del Investigador Principal (no debe exceder las 10 páginas).</w:t>
      </w:r>
    </w:p>
    <w:p w:rsidR="00D43606" w:rsidRPr="006C77D1" w:rsidRDefault="006C77D1" w:rsidP="00D43606">
      <w:pPr>
        <w:pStyle w:val="List-Level3"/>
        <w:numPr>
          <w:ilvl w:val="0"/>
          <w:numId w:val="40"/>
        </w:numPr>
        <w:contextualSpacing/>
        <w:jc w:val="both"/>
        <w:rPr>
          <w:lang w:val="es-MX"/>
        </w:rPr>
      </w:pPr>
      <w:r>
        <w:rPr>
          <w:lang w:val="es-MX"/>
        </w:rPr>
        <w:t xml:space="preserve">Copia de la cédula profesional </w:t>
      </w:r>
      <w:r w:rsidR="00D43606" w:rsidRPr="006C77D1">
        <w:rPr>
          <w:lang w:val="es-MX"/>
        </w:rPr>
        <w:t>de</w:t>
      </w:r>
      <w:r>
        <w:rPr>
          <w:lang w:val="es-MX"/>
        </w:rPr>
        <w:t>l</w:t>
      </w:r>
      <w:r w:rsidR="00D43606" w:rsidRPr="006C77D1">
        <w:rPr>
          <w:lang w:val="es-MX"/>
        </w:rPr>
        <w:t xml:space="preserve"> Investigador Principal (máximo grado académico).</w:t>
      </w:r>
    </w:p>
    <w:p w:rsidR="00D43606" w:rsidRPr="006C77D1" w:rsidRDefault="00D43606" w:rsidP="00D43606">
      <w:pPr>
        <w:pStyle w:val="List-Level3"/>
        <w:numPr>
          <w:ilvl w:val="0"/>
          <w:numId w:val="40"/>
        </w:numPr>
        <w:contextualSpacing/>
        <w:jc w:val="both"/>
        <w:rPr>
          <w:lang w:val="es-MX"/>
        </w:rPr>
      </w:pPr>
      <w:r w:rsidRPr="006C77D1">
        <w:rPr>
          <w:lang w:val="es-MX"/>
        </w:rPr>
        <w:t>Constancia de investigador principal del curso de Buenas Prácticas Clínicas con una antigüedad no mayor a 2 años y una duración mayor a 6 horas.</w:t>
      </w:r>
    </w:p>
    <w:p w:rsidR="00D43606" w:rsidRPr="006C77D1" w:rsidRDefault="00D43606" w:rsidP="00D43606">
      <w:pPr>
        <w:pStyle w:val="List-Level3"/>
        <w:numPr>
          <w:ilvl w:val="0"/>
          <w:numId w:val="40"/>
        </w:numPr>
        <w:contextualSpacing/>
        <w:jc w:val="both"/>
        <w:rPr>
          <w:lang w:val="es-MX"/>
        </w:rPr>
      </w:pPr>
      <w:proofErr w:type="spellStart"/>
      <w:r w:rsidRPr="006C77D1">
        <w:rPr>
          <w:lang w:val="es-MX"/>
        </w:rPr>
        <w:t>Curriculum</w:t>
      </w:r>
      <w:proofErr w:type="spellEnd"/>
      <w:r w:rsidRPr="006C77D1">
        <w:rPr>
          <w:lang w:val="es-MX"/>
        </w:rPr>
        <w:t xml:space="preserve"> Vitae resumido de todos los miembros del equipo de investigación (no debe exceder las 10 páginas).</w:t>
      </w:r>
    </w:p>
    <w:p w:rsidR="00D43606" w:rsidRPr="006C77D1" w:rsidRDefault="00D43606" w:rsidP="00D43606">
      <w:pPr>
        <w:pStyle w:val="List-Level3"/>
        <w:numPr>
          <w:ilvl w:val="0"/>
          <w:numId w:val="40"/>
        </w:numPr>
        <w:contextualSpacing/>
        <w:jc w:val="both"/>
        <w:rPr>
          <w:lang w:val="es-MX"/>
        </w:rPr>
      </w:pPr>
      <w:r w:rsidRPr="006C77D1">
        <w:rPr>
          <w:lang w:val="es-MX"/>
        </w:rPr>
        <w:t>Licencia Sanitaria o Aviso de Funcionamiento del Sitio de Investigación o de la Institución donde se realizará el estudio clínico.</w:t>
      </w:r>
    </w:p>
    <w:p w:rsidR="00D43606" w:rsidRPr="006C77D1" w:rsidRDefault="00D43606" w:rsidP="00D43606">
      <w:pPr>
        <w:pStyle w:val="List-Level3"/>
        <w:numPr>
          <w:ilvl w:val="0"/>
          <w:numId w:val="40"/>
        </w:numPr>
        <w:contextualSpacing/>
        <w:jc w:val="both"/>
        <w:rPr>
          <w:lang w:val="es-MX"/>
        </w:rPr>
      </w:pPr>
      <w:r w:rsidRPr="006C77D1">
        <w:rPr>
          <w:lang w:val="es-MX"/>
        </w:rPr>
        <w:lastRenderedPageBreak/>
        <w:t>Documento donde se hace constar la descripción de los recursos disponibles de la unidad o institución donde se realizará la investigación, incluyendo áreas, equipos, servicios auxiliares de laboratorio y gabinetes, número de personal, todo lo anterior únicamente y específicamente para el desarrollo del estudio. expresado.</w:t>
      </w:r>
    </w:p>
    <w:p w:rsidR="00D43606" w:rsidRPr="006C77D1" w:rsidRDefault="00D43606" w:rsidP="00D43606">
      <w:pPr>
        <w:pStyle w:val="List-Level3"/>
        <w:numPr>
          <w:ilvl w:val="0"/>
          <w:numId w:val="40"/>
        </w:numPr>
        <w:contextualSpacing/>
        <w:jc w:val="both"/>
        <w:rPr>
          <w:lang w:val="es-MX"/>
        </w:rPr>
      </w:pPr>
      <w:r w:rsidRPr="006C77D1">
        <w:rPr>
          <w:lang w:val="es-MX"/>
        </w:rPr>
        <w:t xml:space="preserve">En el caso de centros de investigación que </w:t>
      </w:r>
      <w:r w:rsidR="006C77D1">
        <w:rPr>
          <w:lang w:val="es-MX"/>
        </w:rPr>
        <w:t>tengan</w:t>
      </w:r>
      <w:r w:rsidRPr="006C77D1">
        <w:rPr>
          <w:lang w:val="es-MX"/>
        </w:rPr>
        <w:t xml:space="preserve"> convenios para la atención de emergencias médicas con otras instituciones, se deberá acompañar copia simple del convenio vigente y copia simple de la Licencia Sanitaria, cuando el centro de investigación presente un aviso de funcionamiento.</w:t>
      </w:r>
    </w:p>
    <w:p w:rsidR="00D43606" w:rsidRPr="006C77D1" w:rsidRDefault="00D43606" w:rsidP="00D43606">
      <w:pPr>
        <w:pStyle w:val="List-Level3"/>
        <w:numPr>
          <w:ilvl w:val="0"/>
          <w:numId w:val="40"/>
        </w:numPr>
        <w:contextualSpacing/>
        <w:jc w:val="both"/>
        <w:rPr>
          <w:lang w:val="es-MX"/>
        </w:rPr>
      </w:pPr>
      <w:r w:rsidRPr="006C77D1">
        <w:rPr>
          <w:lang w:val="es-MX"/>
        </w:rPr>
        <w:t>Copia simple de la licencia sanitaria de la institución para atención de emergencia.</w:t>
      </w:r>
    </w:p>
    <w:p w:rsidR="00D43606" w:rsidRPr="006C77D1" w:rsidRDefault="00D43606" w:rsidP="00D43606">
      <w:pPr>
        <w:pStyle w:val="List-Level3"/>
        <w:numPr>
          <w:ilvl w:val="0"/>
          <w:numId w:val="40"/>
        </w:numPr>
        <w:contextualSpacing/>
        <w:jc w:val="both"/>
        <w:rPr>
          <w:lang w:val="es-MX"/>
        </w:rPr>
      </w:pPr>
      <w:r w:rsidRPr="006C77D1">
        <w:rPr>
          <w:lang w:val="es-MX"/>
        </w:rPr>
        <w:t>Carta de autorización para realizar el estudio clínico firmada por el titular de la institución.</w:t>
      </w:r>
    </w:p>
    <w:p w:rsidR="00D43606" w:rsidRPr="006C77D1" w:rsidRDefault="00D43606" w:rsidP="008F01F0">
      <w:pPr>
        <w:pStyle w:val="List-Level3"/>
        <w:contextualSpacing/>
        <w:jc w:val="both"/>
        <w:rPr>
          <w:lang w:val="es-MX"/>
        </w:rPr>
      </w:pPr>
    </w:p>
    <w:p w:rsidR="0084626A" w:rsidRPr="006C77D1" w:rsidRDefault="0084626A" w:rsidP="008F01F0">
      <w:pPr>
        <w:pStyle w:val="List-Level3"/>
        <w:contextualSpacing/>
        <w:jc w:val="both"/>
        <w:rPr>
          <w:lang w:val="es-MX"/>
        </w:rPr>
      </w:pPr>
      <w:r w:rsidRPr="006C77D1">
        <w:rPr>
          <w:lang w:val="es-MX"/>
        </w:rPr>
        <w:t>1.1.1a Además, los solicitantes pueden estar obligados a presentar:</w:t>
      </w:r>
    </w:p>
    <w:p w:rsidR="0084626A" w:rsidRPr="009D278D" w:rsidRDefault="0084626A" w:rsidP="00D43606">
      <w:pPr>
        <w:pStyle w:val="List-Level1"/>
        <w:numPr>
          <w:ilvl w:val="0"/>
          <w:numId w:val="41"/>
        </w:numPr>
        <w:contextualSpacing/>
        <w:jc w:val="both"/>
      </w:pPr>
      <w:proofErr w:type="spellStart"/>
      <w:r w:rsidRPr="009D278D">
        <w:t>Declaración</w:t>
      </w:r>
      <w:proofErr w:type="spellEnd"/>
      <w:r w:rsidRPr="009D278D">
        <w:t xml:space="preserve"> de </w:t>
      </w:r>
      <w:proofErr w:type="spellStart"/>
      <w:r w:rsidRPr="009D278D">
        <w:t>acceso</w:t>
      </w:r>
      <w:proofErr w:type="spellEnd"/>
      <w:r w:rsidRPr="009D278D">
        <w:t xml:space="preserve"> </w:t>
      </w:r>
      <w:proofErr w:type="spellStart"/>
      <w:r w:rsidRPr="009D278D">
        <w:t>financiero</w:t>
      </w:r>
      <w:proofErr w:type="spellEnd"/>
    </w:p>
    <w:p w:rsidR="0084626A" w:rsidRPr="009D278D" w:rsidRDefault="0084626A" w:rsidP="008F01F0">
      <w:pPr>
        <w:pStyle w:val="List-Level1"/>
        <w:tabs>
          <w:tab w:val="clear" w:pos="720"/>
        </w:tabs>
        <w:contextualSpacing/>
        <w:jc w:val="both"/>
      </w:pPr>
    </w:p>
    <w:p w:rsidR="0084626A" w:rsidRPr="006C77D1" w:rsidRDefault="0084626A" w:rsidP="008F01F0">
      <w:pPr>
        <w:pStyle w:val="List-Level1"/>
        <w:tabs>
          <w:tab w:val="clear" w:pos="720"/>
        </w:tabs>
        <w:contextualSpacing/>
        <w:jc w:val="both"/>
        <w:rPr>
          <w:b/>
          <w:lang w:val="es-MX"/>
        </w:rPr>
      </w:pPr>
      <w:r w:rsidRPr="006C77D1">
        <w:rPr>
          <w:b/>
          <w:bCs/>
          <w:lang w:val="es-MX"/>
        </w:rPr>
        <w:t xml:space="preserve">1.2 Requisitos para </w:t>
      </w:r>
      <w:r w:rsidR="006C77D1">
        <w:rPr>
          <w:b/>
          <w:bCs/>
          <w:lang w:val="es-MX"/>
        </w:rPr>
        <w:t>el sometimiento</w:t>
      </w:r>
      <w:r w:rsidRPr="006C77D1">
        <w:rPr>
          <w:b/>
          <w:bCs/>
          <w:lang w:val="es-MX"/>
        </w:rPr>
        <w:t xml:space="preserve"> a revisión </w:t>
      </w:r>
      <w:proofErr w:type="gramStart"/>
      <w:r w:rsidRPr="006C77D1">
        <w:rPr>
          <w:b/>
          <w:bCs/>
          <w:lang w:val="es-MX"/>
        </w:rPr>
        <w:t>continua</w:t>
      </w:r>
      <w:proofErr w:type="gramEnd"/>
      <w:r w:rsidRPr="006C77D1">
        <w:rPr>
          <w:b/>
          <w:bCs/>
          <w:lang w:val="es-MX"/>
        </w:rPr>
        <w:t>.</w:t>
      </w:r>
    </w:p>
    <w:p w:rsidR="0084626A" w:rsidRPr="006C77D1" w:rsidRDefault="001B28CA" w:rsidP="008F01F0">
      <w:pPr>
        <w:pStyle w:val="List-Level3"/>
        <w:contextualSpacing/>
        <w:jc w:val="both"/>
        <w:rPr>
          <w:lang w:val="es-MX"/>
        </w:rPr>
      </w:pPr>
      <w:r w:rsidRPr="006C77D1">
        <w:rPr>
          <w:lang w:val="es-MX"/>
        </w:rPr>
        <w:t xml:space="preserve">1.2.1 Durante el período de aprobación, los investigadores deben presentar documentación para informar al </w:t>
      </w:r>
      <w:r w:rsidR="006C77D1">
        <w:rPr>
          <w:lang w:val="es-MX"/>
        </w:rPr>
        <w:t>CEI</w:t>
      </w:r>
      <w:r w:rsidRPr="006C77D1">
        <w:rPr>
          <w:lang w:val="es-MX"/>
        </w:rPr>
        <w:t xml:space="preserve"> de los cambios durante el curso del estudio, incluidos, entre otros, los siguientes:</w:t>
      </w:r>
    </w:p>
    <w:p w:rsidR="0084626A" w:rsidRPr="009D278D" w:rsidRDefault="006C77D1" w:rsidP="00D43606">
      <w:pPr>
        <w:pStyle w:val="List-Level1"/>
        <w:numPr>
          <w:ilvl w:val="0"/>
          <w:numId w:val="43"/>
        </w:numPr>
        <w:tabs>
          <w:tab w:val="num" w:pos="1980"/>
        </w:tabs>
        <w:contextualSpacing/>
        <w:jc w:val="both"/>
      </w:pPr>
      <w:proofErr w:type="spellStart"/>
      <w:r>
        <w:t>Desviaciones</w:t>
      </w:r>
      <w:proofErr w:type="spellEnd"/>
      <w:r w:rsidR="0084626A" w:rsidRPr="009D278D">
        <w:t xml:space="preserve"> </w:t>
      </w:r>
      <w:r>
        <w:t>al</w:t>
      </w:r>
      <w:r w:rsidR="0084626A" w:rsidRPr="009D278D">
        <w:t xml:space="preserve"> </w:t>
      </w:r>
      <w:proofErr w:type="spellStart"/>
      <w:r w:rsidR="0084626A" w:rsidRPr="009D278D">
        <w:t>protocolo</w:t>
      </w:r>
      <w:proofErr w:type="spellEnd"/>
    </w:p>
    <w:p w:rsidR="0084626A" w:rsidRPr="006C77D1" w:rsidRDefault="0084626A" w:rsidP="00D43606">
      <w:pPr>
        <w:pStyle w:val="List-Level1"/>
        <w:numPr>
          <w:ilvl w:val="0"/>
          <w:numId w:val="43"/>
        </w:numPr>
        <w:tabs>
          <w:tab w:val="num" w:pos="1980"/>
        </w:tabs>
        <w:contextualSpacing/>
        <w:jc w:val="both"/>
        <w:rPr>
          <w:lang w:val="es-MX"/>
        </w:rPr>
      </w:pPr>
      <w:r w:rsidRPr="006C77D1">
        <w:rPr>
          <w:lang w:val="es-MX"/>
        </w:rPr>
        <w:t>Informes de eventos adversos graves o inesperados.</w:t>
      </w:r>
    </w:p>
    <w:p w:rsidR="0084626A" w:rsidRPr="006C77D1" w:rsidRDefault="0084626A" w:rsidP="00D43606">
      <w:pPr>
        <w:pStyle w:val="List-Level1"/>
        <w:numPr>
          <w:ilvl w:val="0"/>
          <w:numId w:val="43"/>
        </w:numPr>
        <w:tabs>
          <w:tab w:val="num" w:pos="1980"/>
        </w:tabs>
        <w:contextualSpacing/>
        <w:jc w:val="both"/>
        <w:rPr>
          <w:lang w:val="es-MX"/>
        </w:rPr>
      </w:pPr>
      <w:r w:rsidRPr="006C77D1">
        <w:rPr>
          <w:lang w:val="es-MX"/>
        </w:rPr>
        <w:t>Informes de eventos adversos graves o inesperados ocurridos durante el período de aprobación</w:t>
      </w:r>
    </w:p>
    <w:p w:rsidR="0084626A" w:rsidRPr="006C77D1" w:rsidRDefault="0084626A" w:rsidP="00D43606">
      <w:pPr>
        <w:pStyle w:val="List-Level1"/>
        <w:numPr>
          <w:ilvl w:val="0"/>
          <w:numId w:val="43"/>
        </w:numPr>
        <w:tabs>
          <w:tab w:val="num" w:pos="1980"/>
        </w:tabs>
        <w:contextualSpacing/>
        <w:jc w:val="both"/>
        <w:rPr>
          <w:lang w:val="es-MX"/>
        </w:rPr>
      </w:pPr>
      <w:r w:rsidRPr="006C77D1">
        <w:rPr>
          <w:lang w:val="es-MX"/>
        </w:rPr>
        <w:t>Cambios en el estatus del investigador principal o sub-investigadores.</w:t>
      </w:r>
    </w:p>
    <w:p w:rsidR="008540FB" w:rsidRPr="006C77D1" w:rsidRDefault="009D58B2" w:rsidP="00D43606">
      <w:pPr>
        <w:pStyle w:val="List-Level1"/>
        <w:numPr>
          <w:ilvl w:val="0"/>
          <w:numId w:val="42"/>
        </w:numPr>
        <w:tabs>
          <w:tab w:val="num" w:pos="1980"/>
        </w:tabs>
        <w:contextualSpacing/>
        <w:jc w:val="both"/>
        <w:rPr>
          <w:lang w:val="es-MX"/>
        </w:rPr>
      </w:pPr>
      <w:r w:rsidRPr="006C77D1">
        <w:rPr>
          <w:lang w:val="es-MX"/>
        </w:rPr>
        <w:t>Informa cualquier problema imprevisto que implique un riesgo para los participantes u otros.</w:t>
      </w:r>
    </w:p>
    <w:p w:rsidR="008540FB" w:rsidRDefault="009D58B2" w:rsidP="00D43606">
      <w:pPr>
        <w:pStyle w:val="List-Level1"/>
        <w:numPr>
          <w:ilvl w:val="0"/>
          <w:numId w:val="42"/>
        </w:numPr>
        <w:tabs>
          <w:tab w:val="num" w:pos="1980"/>
        </w:tabs>
        <w:contextualSpacing/>
        <w:jc w:val="both"/>
        <w:rPr>
          <w:lang w:val="es-MX"/>
        </w:rPr>
      </w:pPr>
      <w:r w:rsidRPr="006C77D1">
        <w:rPr>
          <w:lang w:val="es-MX"/>
        </w:rPr>
        <w:t>Reporta cualquier incumplimiento o conflicto de interés.</w:t>
      </w:r>
    </w:p>
    <w:p w:rsidR="006C77D1" w:rsidRDefault="006C77D1" w:rsidP="00D43606">
      <w:pPr>
        <w:pStyle w:val="List-Level1"/>
        <w:numPr>
          <w:ilvl w:val="0"/>
          <w:numId w:val="42"/>
        </w:numPr>
        <w:tabs>
          <w:tab w:val="num" w:pos="1980"/>
        </w:tabs>
        <w:contextualSpacing/>
        <w:jc w:val="both"/>
        <w:rPr>
          <w:lang w:val="es-MX"/>
        </w:rPr>
      </w:pPr>
      <w:r>
        <w:rPr>
          <w:lang w:val="es-MX"/>
        </w:rPr>
        <w:t>Reportes de seguridad</w:t>
      </w:r>
    </w:p>
    <w:p w:rsidR="006C77D1" w:rsidRPr="006C77D1" w:rsidRDefault="006C77D1" w:rsidP="00D43606">
      <w:pPr>
        <w:pStyle w:val="List-Level1"/>
        <w:numPr>
          <w:ilvl w:val="0"/>
          <w:numId w:val="42"/>
        </w:numPr>
        <w:tabs>
          <w:tab w:val="num" w:pos="1980"/>
        </w:tabs>
        <w:contextualSpacing/>
        <w:jc w:val="both"/>
        <w:rPr>
          <w:lang w:val="es-MX"/>
        </w:rPr>
      </w:pPr>
      <w:r>
        <w:rPr>
          <w:lang w:val="es-MX"/>
        </w:rPr>
        <w:t>Cualquier otra información pertinente que se haya presentado a lo largo de la conducción del estudio.</w:t>
      </w:r>
    </w:p>
    <w:p w:rsidR="001B28CA" w:rsidRPr="006C77D1" w:rsidRDefault="001B28CA" w:rsidP="001B28CA">
      <w:pPr>
        <w:pStyle w:val="List-Level1"/>
        <w:tabs>
          <w:tab w:val="clear" w:pos="720"/>
        </w:tabs>
        <w:contextualSpacing/>
        <w:jc w:val="both"/>
        <w:rPr>
          <w:lang w:val="es-MX"/>
        </w:rPr>
      </w:pPr>
    </w:p>
    <w:p w:rsidR="00D43606" w:rsidRPr="006C77D1" w:rsidRDefault="00D43606" w:rsidP="00D43606">
      <w:pPr>
        <w:pStyle w:val="List-Level1"/>
        <w:tabs>
          <w:tab w:val="clear" w:pos="720"/>
          <w:tab w:val="num" w:pos="1980"/>
        </w:tabs>
        <w:contextualSpacing/>
        <w:jc w:val="both"/>
        <w:rPr>
          <w:lang w:val="es-MX"/>
        </w:rPr>
      </w:pPr>
    </w:p>
    <w:p w:rsidR="0084626A" w:rsidRPr="006C77D1" w:rsidRDefault="0084626A" w:rsidP="008F01F0">
      <w:pPr>
        <w:pStyle w:val="List-Level3"/>
        <w:contextualSpacing/>
        <w:jc w:val="both"/>
        <w:rPr>
          <w:lang w:val="es-MX"/>
        </w:rPr>
      </w:pPr>
      <w:r w:rsidRPr="006C77D1">
        <w:rPr>
          <w:lang w:val="es-MX"/>
        </w:rPr>
        <w:t xml:space="preserve">1.2.2 </w:t>
      </w:r>
      <w:r w:rsidR="006C77D1" w:rsidRPr="00D328D0">
        <w:rPr>
          <w:lang w:val="es-MX"/>
        </w:rPr>
        <w:t xml:space="preserve">Informe de avance del estudio y/o de petición para renovar la aprobación por el </w:t>
      </w:r>
      <w:r w:rsidR="006C77D1">
        <w:rPr>
          <w:lang w:val="es-MX"/>
        </w:rPr>
        <w:t>CEI</w:t>
      </w:r>
    </w:p>
    <w:p w:rsidR="00024719" w:rsidRPr="006C77D1" w:rsidRDefault="00024719" w:rsidP="008F01F0">
      <w:pPr>
        <w:pStyle w:val="List-Level3"/>
        <w:contextualSpacing/>
        <w:jc w:val="both"/>
        <w:rPr>
          <w:lang w:val="es-MX"/>
        </w:rPr>
      </w:pPr>
    </w:p>
    <w:p w:rsidR="00622403" w:rsidRPr="006C77D1" w:rsidRDefault="00622403" w:rsidP="001114C3">
      <w:pPr>
        <w:spacing w:line="267" w:lineRule="exact"/>
        <w:ind w:left="993" w:right="51"/>
        <w:jc w:val="both"/>
        <w:rPr>
          <w:rFonts w:ascii="Arial" w:hAnsi="Arial" w:cs="Arial"/>
          <w:lang w:val="es-MX"/>
        </w:rPr>
      </w:pPr>
      <w:r w:rsidRPr="006C77D1">
        <w:rPr>
          <w:rFonts w:ascii="Arial" w:hAnsi="Arial" w:cs="Arial"/>
          <w:lang w:val="es-MX"/>
        </w:rPr>
        <w:t xml:space="preserve">El </w:t>
      </w:r>
      <w:r w:rsidR="006C77D1">
        <w:rPr>
          <w:rFonts w:ascii="Arial" w:hAnsi="Arial" w:cs="Arial"/>
          <w:lang w:val="es-MX"/>
        </w:rPr>
        <w:t>CEI</w:t>
      </w:r>
      <w:r w:rsidRPr="006C77D1">
        <w:rPr>
          <w:rFonts w:ascii="Arial" w:hAnsi="Arial" w:cs="Arial"/>
          <w:lang w:val="es-MX"/>
        </w:rPr>
        <w:t xml:space="preserve"> utiliza los criterios requeridos para la aprobación de todas las revisiones de la investigación, incluida la revisión inicial, la revisión continua y </w:t>
      </w:r>
      <w:r w:rsidR="00864419">
        <w:rPr>
          <w:rFonts w:ascii="Arial" w:hAnsi="Arial" w:cs="Arial"/>
          <w:lang w:val="es-MX"/>
        </w:rPr>
        <w:t>enmiendas</w:t>
      </w:r>
      <w:r w:rsidRPr="006C77D1">
        <w:rPr>
          <w:rFonts w:ascii="Arial" w:hAnsi="Arial" w:cs="Arial"/>
          <w:lang w:val="es-MX"/>
        </w:rPr>
        <w:t xml:space="preserve"> a una investigación previamente aprobada cuando la modificación afecta un criterio de aprobación.</w:t>
      </w:r>
    </w:p>
    <w:p w:rsidR="008630D9" w:rsidRPr="006C77D1" w:rsidRDefault="008630D9" w:rsidP="001114C3">
      <w:pPr>
        <w:spacing w:line="267" w:lineRule="exact"/>
        <w:ind w:left="993" w:right="51"/>
        <w:jc w:val="both"/>
        <w:rPr>
          <w:rFonts w:ascii="Arial" w:hAnsi="Arial" w:cs="Arial"/>
          <w:lang w:val="es-MX"/>
        </w:rPr>
      </w:pPr>
    </w:p>
    <w:p w:rsidR="00024719" w:rsidRPr="006C77D1" w:rsidRDefault="00864419" w:rsidP="001114C3">
      <w:pPr>
        <w:spacing w:line="267" w:lineRule="exact"/>
        <w:ind w:left="993" w:right="51"/>
        <w:jc w:val="both"/>
        <w:rPr>
          <w:rFonts w:ascii="Arial" w:hAnsi="Arial" w:cs="Arial"/>
          <w:lang w:val="es-MX"/>
        </w:rPr>
      </w:pPr>
      <w:r>
        <w:rPr>
          <w:rFonts w:ascii="Arial" w:hAnsi="Arial" w:cs="Arial"/>
          <w:lang w:val="es-MX"/>
        </w:rPr>
        <w:t>Para las enmiendas se realiza el mismo procedimiento que la revisión inicial, los documentos recibidos son revisados por los miembros del Comité en el pleno de la Junta (con excepciones de enmiendas que puedan ser revisadas de manera expedita)</w:t>
      </w:r>
    </w:p>
    <w:p w:rsidR="008630D9" w:rsidRPr="006C77D1" w:rsidRDefault="008630D9" w:rsidP="001114C3">
      <w:pPr>
        <w:spacing w:line="267" w:lineRule="exact"/>
        <w:ind w:left="993" w:right="51"/>
        <w:jc w:val="both"/>
        <w:rPr>
          <w:rFonts w:ascii="Arial" w:hAnsi="Arial" w:cs="Arial"/>
          <w:lang w:val="es-MX"/>
        </w:rPr>
      </w:pPr>
    </w:p>
    <w:p w:rsidR="00622403" w:rsidRPr="006C77D1" w:rsidRDefault="008630D9" w:rsidP="00D816B5">
      <w:pPr>
        <w:spacing w:before="59"/>
        <w:ind w:left="993" w:right="51"/>
        <w:jc w:val="both"/>
        <w:rPr>
          <w:rFonts w:ascii="Arial" w:hAnsi="Arial" w:cs="Arial"/>
          <w:lang w:val="es-MX"/>
        </w:rPr>
      </w:pPr>
      <w:r w:rsidRPr="006C77D1">
        <w:rPr>
          <w:rFonts w:ascii="Arial" w:hAnsi="Arial" w:cs="Arial"/>
          <w:lang w:val="es-MX"/>
        </w:rPr>
        <w:t xml:space="preserve">La </w:t>
      </w:r>
      <w:r w:rsidR="00864419">
        <w:rPr>
          <w:rFonts w:ascii="Arial" w:hAnsi="Arial" w:cs="Arial"/>
          <w:lang w:val="es-MX"/>
        </w:rPr>
        <w:t>renovación</w:t>
      </w:r>
      <w:r w:rsidRPr="006C77D1">
        <w:rPr>
          <w:rFonts w:ascii="Arial" w:hAnsi="Arial" w:cs="Arial"/>
          <w:lang w:val="es-MX"/>
        </w:rPr>
        <w:t xml:space="preserve"> debe ocurrir </w:t>
      </w:r>
      <w:r w:rsidR="00864419">
        <w:rPr>
          <w:rFonts w:ascii="Arial" w:hAnsi="Arial" w:cs="Arial"/>
          <w:lang w:val="es-MX"/>
        </w:rPr>
        <w:t>anualmente</w:t>
      </w:r>
      <w:r w:rsidRPr="006C77D1">
        <w:rPr>
          <w:rFonts w:ascii="Arial" w:hAnsi="Arial" w:cs="Arial"/>
          <w:lang w:val="es-MX"/>
        </w:rPr>
        <w:t>. La fecha de vencimiento de un protocolo es la fecha de su aniversario (Fecha de aprobación).</w:t>
      </w:r>
    </w:p>
    <w:p w:rsidR="001C2833" w:rsidRPr="006C77D1" w:rsidRDefault="001C2833" w:rsidP="00D816B5">
      <w:pPr>
        <w:spacing w:before="57"/>
        <w:ind w:left="993" w:right="51"/>
        <w:jc w:val="both"/>
        <w:rPr>
          <w:rFonts w:ascii="Arial" w:hAnsi="Arial" w:cs="Arial"/>
          <w:spacing w:val="-1"/>
          <w:lang w:val="es-MX"/>
        </w:rPr>
      </w:pPr>
    </w:p>
    <w:p w:rsidR="00622403" w:rsidRPr="006C77D1" w:rsidRDefault="00864419" w:rsidP="00D816B5">
      <w:pPr>
        <w:spacing w:before="57"/>
        <w:ind w:left="993" w:right="51"/>
        <w:jc w:val="both"/>
        <w:rPr>
          <w:rFonts w:ascii="Arial" w:hAnsi="Arial" w:cs="Arial"/>
          <w:lang w:val="es-MX"/>
        </w:rPr>
      </w:pPr>
      <w:r>
        <w:rPr>
          <w:rFonts w:ascii="Arial" w:hAnsi="Arial" w:cs="Arial"/>
          <w:spacing w:val="-1"/>
          <w:lang w:val="es-MX"/>
        </w:rPr>
        <w:t>En la</w:t>
      </w:r>
      <w:r w:rsidR="00622403" w:rsidRPr="006C77D1">
        <w:rPr>
          <w:rFonts w:ascii="Arial" w:hAnsi="Arial" w:cs="Arial"/>
          <w:lang w:val="es-MX"/>
        </w:rPr>
        <w:t xml:space="preserve"> revisió</w:t>
      </w:r>
      <w:r>
        <w:rPr>
          <w:rFonts w:ascii="Arial" w:hAnsi="Arial" w:cs="Arial"/>
          <w:lang w:val="es-MX"/>
        </w:rPr>
        <w:t xml:space="preserve">n continua de la investigación </w:t>
      </w:r>
      <w:r w:rsidR="00622403" w:rsidRPr="006C77D1">
        <w:rPr>
          <w:rFonts w:ascii="Arial" w:hAnsi="Arial" w:cs="Arial"/>
          <w:lang w:val="es-MX"/>
        </w:rPr>
        <w:t xml:space="preserve">el </w:t>
      </w:r>
      <w:r w:rsidR="006C77D1">
        <w:rPr>
          <w:rFonts w:ascii="Arial" w:hAnsi="Arial" w:cs="Arial"/>
          <w:lang w:val="es-MX"/>
        </w:rPr>
        <w:t>CEI</w:t>
      </w:r>
      <w:r w:rsidR="00622403" w:rsidRPr="006C77D1">
        <w:rPr>
          <w:rFonts w:ascii="Arial" w:hAnsi="Arial" w:cs="Arial"/>
          <w:lang w:val="es-MX"/>
        </w:rPr>
        <w:t xml:space="preserve"> determina:</w:t>
      </w:r>
    </w:p>
    <w:p w:rsidR="00622403" w:rsidRPr="006C77D1" w:rsidRDefault="00864419" w:rsidP="009D58B2">
      <w:pPr>
        <w:pStyle w:val="Prrafodelista"/>
        <w:numPr>
          <w:ilvl w:val="0"/>
          <w:numId w:val="44"/>
        </w:numPr>
        <w:spacing w:before="83" w:line="276" w:lineRule="exact"/>
        <w:ind w:right="51"/>
        <w:jc w:val="both"/>
        <w:rPr>
          <w:rFonts w:ascii="Arial" w:hAnsi="Arial" w:cs="Arial"/>
          <w:lang w:val="es-MX"/>
        </w:rPr>
      </w:pPr>
      <w:r>
        <w:rPr>
          <w:rFonts w:ascii="Arial" w:hAnsi="Arial" w:cs="Arial"/>
          <w:spacing w:val="1"/>
          <w:lang w:val="es-MX"/>
        </w:rPr>
        <w:t>Si</w:t>
      </w:r>
      <w:r w:rsidR="00622403" w:rsidRPr="006C77D1">
        <w:rPr>
          <w:rFonts w:ascii="Arial" w:hAnsi="Arial" w:cs="Arial"/>
          <w:lang w:val="es-MX"/>
        </w:rPr>
        <w:t xml:space="preserve"> el protocolo necesita verificación de fuentes distintas a los investigadores de que no se han producido cambios materiales desde la revisión anterior del </w:t>
      </w:r>
      <w:r w:rsidR="006C77D1">
        <w:rPr>
          <w:rFonts w:ascii="Arial" w:hAnsi="Arial" w:cs="Arial"/>
          <w:lang w:val="es-MX"/>
        </w:rPr>
        <w:t>CEI</w:t>
      </w:r>
      <w:r w:rsidR="00622403" w:rsidRPr="006C77D1">
        <w:rPr>
          <w:rFonts w:ascii="Arial" w:hAnsi="Arial" w:cs="Arial"/>
          <w:lang w:val="es-MX"/>
        </w:rPr>
        <w:t>.</w:t>
      </w:r>
    </w:p>
    <w:p w:rsidR="009D58B2" w:rsidRPr="006C77D1" w:rsidRDefault="009D58B2" w:rsidP="00D816B5">
      <w:pPr>
        <w:spacing w:line="293" w:lineRule="exact"/>
        <w:ind w:left="993" w:right="51"/>
        <w:jc w:val="both"/>
        <w:rPr>
          <w:rFonts w:ascii="Arial" w:hAnsi="Arial" w:cs="Arial"/>
          <w:position w:val="-1"/>
          <w:lang w:val="es-MX"/>
        </w:rPr>
      </w:pPr>
    </w:p>
    <w:p w:rsidR="00622403" w:rsidRPr="006C77D1" w:rsidRDefault="00622403" w:rsidP="009D58B2">
      <w:pPr>
        <w:pStyle w:val="Prrafodelista"/>
        <w:numPr>
          <w:ilvl w:val="0"/>
          <w:numId w:val="44"/>
        </w:numPr>
        <w:spacing w:line="293" w:lineRule="exact"/>
        <w:ind w:right="51"/>
        <w:jc w:val="both"/>
        <w:rPr>
          <w:rFonts w:ascii="Arial" w:hAnsi="Arial" w:cs="Arial"/>
          <w:position w:val="-1"/>
          <w:lang w:val="es-MX"/>
        </w:rPr>
      </w:pPr>
      <w:r w:rsidRPr="006C77D1">
        <w:rPr>
          <w:rFonts w:ascii="Arial" w:hAnsi="Arial" w:cs="Arial"/>
          <w:position w:val="-1"/>
          <w:lang w:val="es-MX"/>
        </w:rPr>
        <w:t>El documento de consentimiento actual sigue siendo preciso y completo.</w:t>
      </w:r>
    </w:p>
    <w:p w:rsidR="009D58B2" w:rsidRPr="006C77D1" w:rsidRDefault="009D58B2" w:rsidP="00D816B5">
      <w:pPr>
        <w:spacing w:line="293" w:lineRule="exact"/>
        <w:ind w:left="993" w:right="51"/>
        <w:jc w:val="both"/>
        <w:rPr>
          <w:rFonts w:ascii="Arial" w:hAnsi="Arial" w:cs="Arial"/>
          <w:lang w:val="es-MX"/>
        </w:rPr>
      </w:pPr>
    </w:p>
    <w:p w:rsidR="00622403" w:rsidRPr="006C77D1" w:rsidRDefault="00622403" w:rsidP="009D58B2">
      <w:pPr>
        <w:pStyle w:val="Prrafodelista"/>
        <w:numPr>
          <w:ilvl w:val="0"/>
          <w:numId w:val="44"/>
        </w:numPr>
        <w:spacing w:line="238" w:lineRule="auto"/>
        <w:ind w:right="51"/>
        <w:jc w:val="both"/>
        <w:rPr>
          <w:rFonts w:ascii="Arial" w:hAnsi="Arial" w:cs="Arial"/>
          <w:lang w:val="es-MX"/>
        </w:rPr>
      </w:pPr>
      <w:r w:rsidRPr="006C77D1">
        <w:rPr>
          <w:rFonts w:ascii="Arial" w:hAnsi="Arial" w:cs="Arial"/>
          <w:lang w:val="es-MX"/>
        </w:rPr>
        <w:t>Cualquier hallazgo nuevo significativo que surja del proceso de revisión y que pueda estar relacionado con la voluntad de los participantes de continuar participando</w:t>
      </w:r>
      <w:r w:rsidR="00864419">
        <w:rPr>
          <w:rFonts w:ascii="Arial" w:hAnsi="Arial" w:cs="Arial"/>
          <w:lang w:val="es-MX"/>
        </w:rPr>
        <w:t xml:space="preserve"> debe ser</w:t>
      </w:r>
      <w:r w:rsidRPr="006C77D1">
        <w:rPr>
          <w:rFonts w:ascii="Arial" w:hAnsi="Arial" w:cs="Arial"/>
          <w:lang w:val="es-MX"/>
        </w:rPr>
        <w:t xml:space="preserve"> proporcionado a </w:t>
      </w:r>
      <w:r w:rsidR="00864419">
        <w:rPr>
          <w:rFonts w:ascii="Arial" w:hAnsi="Arial" w:cs="Arial"/>
          <w:lang w:val="es-MX"/>
        </w:rPr>
        <w:t>los mismos lo más pronto posible</w:t>
      </w:r>
      <w:r w:rsidRPr="006C77D1">
        <w:rPr>
          <w:rFonts w:ascii="Arial" w:hAnsi="Arial" w:cs="Arial"/>
          <w:lang w:val="es-MX"/>
        </w:rPr>
        <w:t>.</w:t>
      </w:r>
    </w:p>
    <w:p w:rsidR="009D58B2" w:rsidRPr="006C77D1" w:rsidRDefault="009D58B2" w:rsidP="008630D9">
      <w:pPr>
        <w:spacing w:line="238" w:lineRule="auto"/>
        <w:ind w:left="993" w:right="51"/>
        <w:jc w:val="both"/>
        <w:rPr>
          <w:rFonts w:ascii="Arial" w:hAnsi="Arial" w:cs="Arial"/>
          <w:lang w:val="es-MX"/>
        </w:rPr>
      </w:pPr>
    </w:p>
    <w:p w:rsidR="00622403" w:rsidRPr="006C77D1" w:rsidRDefault="00864419" w:rsidP="00D816B5">
      <w:pPr>
        <w:spacing w:before="60"/>
        <w:ind w:left="993" w:right="51"/>
        <w:jc w:val="both"/>
        <w:rPr>
          <w:rFonts w:ascii="Arial" w:hAnsi="Arial" w:cs="Arial"/>
          <w:lang w:val="es-MX"/>
        </w:rPr>
      </w:pPr>
      <w:r>
        <w:rPr>
          <w:rFonts w:ascii="Arial" w:hAnsi="Arial" w:cs="Arial"/>
          <w:spacing w:val="-3"/>
          <w:lang w:val="es-MX"/>
        </w:rPr>
        <w:t>Si el</w:t>
      </w:r>
      <w:r w:rsidR="00622403" w:rsidRPr="006C77D1">
        <w:rPr>
          <w:rFonts w:ascii="Arial" w:hAnsi="Arial" w:cs="Arial"/>
          <w:lang w:val="es-MX"/>
        </w:rPr>
        <w:t xml:space="preserve"> investigador no proporciona información </w:t>
      </w:r>
      <w:r>
        <w:rPr>
          <w:rFonts w:ascii="Arial" w:hAnsi="Arial" w:cs="Arial"/>
          <w:lang w:val="es-MX"/>
        </w:rPr>
        <w:t>para la renovación</w:t>
      </w:r>
      <w:r w:rsidR="00622403" w:rsidRPr="006C77D1">
        <w:rPr>
          <w:rFonts w:ascii="Arial" w:hAnsi="Arial" w:cs="Arial"/>
          <w:lang w:val="es-MX"/>
        </w:rPr>
        <w:t xml:space="preserve"> al </w:t>
      </w:r>
      <w:r w:rsidR="006C77D1">
        <w:rPr>
          <w:rFonts w:ascii="Arial" w:hAnsi="Arial" w:cs="Arial"/>
          <w:lang w:val="es-MX"/>
        </w:rPr>
        <w:t>CEI</w:t>
      </w:r>
      <w:r w:rsidR="00622403" w:rsidRPr="006C77D1">
        <w:rPr>
          <w:rFonts w:ascii="Arial" w:hAnsi="Arial" w:cs="Arial"/>
          <w:lang w:val="es-MX"/>
        </w:rPr>
        <w:t>:</w:t>
      </w:r>
    </w:p>
    <w:p w:rsidR="009D58B2" w:rsidRPr="006C77D1" w:rsidRDefault="009D58B2" w:rsidP="00D816B5">
      <w:pPr>
        <w:spacing w:before="60"/>
        <w:ind w:left="993" w:right="51"/>
        <w:jc w:val="both"/>
        <w:rPr>
          <w:rFonts w:ascii="Arial" w:hAnsi="Arial" w:cs="Arial"/>
          <w:lang w:val="es-MX"/>
        </w:rPr>
      </w:pPr>
    </w:p>
    <w:p w:rsidR="00622403" w:rsidRPr="006C77D1" w:rsidRDefault="00864419" w:rsidP="00864419">
      <w:pPr>
        <w:spacing w:before="62"/>
        <w:ind w:left="993" w:right="51"/>
        <w:jc w:val="both"/>
        <w:rPr>
          <w:rFonts w:ascii="Arial" w:hAnsi="Arial" w:cs="Arial"/>
          <w:lang w:val="es-MX"/>
        </w:rPr>
      </w:pPr>
      <w:r>
        <w:rPr>
          <w:rFonts w:ascii="Arial" w:hAnsi="Arial" w:cs="Arial"/>
          <w:lang w:val="es-MX"/>
        </w:rPr>
        <w:t>El estudio queda suspendido, esto quiere decir, que t</w:t>
      </w:r>
      <w:r w:rsidR="00622403" w:rsidRPr="006C77D1">
        <w:rPr>
          <w:rFonts w:ascii="Arial" w:hAnsi="Arial" w:cs="Arial"/>
          <w:lang w:val="es-MX"/>
        </w:rPr>
        <w:t>odas las actividades de investigación se detienen</w:t>
      </w:r>
      <w:r>
        <w:rPr>
          <w:rFonts w:ascii="Arial" w:hAnsi="Arial" w:cs="Arial"/>
          <w:lang w:val="es-MX"/>
        </w:rPr>
        <w:t xml:space="preserve"> incluyendo el reclutamiento de participantes.</w:t>
      </w:r>
    </w:p>
    <w:p w:rsidR="001B28CA" w:rsidRPr="006C77D1" w:rsidRDefault="001B28CA" w:rsidP="000A44EB">
      <w:pPr>
        <w:spacing w:before="62"/>
        <w:ind w:left="285" w:right="51" w:firstLine="708"/>
        <w:jc w:val="both"/>
        <w:rPr>
          <w:rFonts w:ascii="Arial" w:hAnsi="Arial" w:cs="Arial"/>
          <w:lang w:val="es-MX"/>
        </w:rPr>
      </w:pPr>
    </w:p>
    <w:p w:rsidR="008630D9" w:rsidRPr="006C77D1" w:rsidRDefault="008630D9" w:rsidP="000A44EB">
      <w:pPr>
        <w:spacing w:before="62"/>
        <w:ind w:left="993" w:right="51"/>
        <w:jc w:val="both"/>
        <w:rPr>
          <w:rFonts w:ascii="Arial" w:hAnsi="Arial" w:cs="Arial"/>
          <w:lang w:val="es-MX"/>
        </w:rPr>
      </w:pPr>
      <w:r w:rsidRPr="006C77D1">
        <w:rPr>
          <w:rFonts w:ascii="Arial" w:hAnsi="Arial" w:cs="Arial"/>
          <w:lang w:val="es-MX"/>
        </w:rPr>
        <w:t xml:space="preserve">El investigador principal tiene 6 meses para enviar el </w:t>
      </w:r>
      <w:r w:rsidR="00864419">
        <w:rPr>
          <w:rFonts w:ascii="Arial" w:hAnsi="Arial" w:cs="Arial"/>
          <w:lang w:val="es-MX"/>
        </w:rPr>
        <w:t xml:space="preserve">Informe Técnico Parcial </w:t>
      </w:r>
      <w:r w:rsidRPr="006C77D1">
        <w:rPr>
          <w:rFonts w:ascii="Arial" w:hAnsi="Arial" w:cs="Arial"/>
          <w:lang w:val="es-MX"/>
        </w:rPr>
        <w:t xml:space="preserve">y una carta explicando por qué se retrasó la renovación. Si el Investigador Principal no envía el formulario dentro de esos 6 meses, el protocolo se cancela y el </w:t>
      </w:r>
      <w:r w:rsidR="006C77D1">
        <w:rPr>
          <w:rFonts w:ascii="Arial" w:hAnsi="Arial" w:cs="Arial"/>
          <w:lang w:val="es-MX"/>
        </w:rPr>
        <w:t>CEI</w:t>
      </w:r>
      <w:r w:rsidRPr="006C77D1">
        <w:rPr>
          <w:rFonts w:ascii="Arial" w:hAnsi="Arial" w:cs="Arial"/>
          <w:lang w:val="es-MX"/>
        </w:rPr>
        <w:t xml:space="preserve"> evaluará el estado de todos los pacientes inscritos para mantener su bienestar.</w:t>
      </w:r>
    </w:p>
    <w:p w:rsidR="000A44EB" w:rsidRPr="006C77D1" w:rsidRDefault="000A44EB" w:rsidP="008630D9">
      <w:pPr>
        <w:spacing w:line="239" w:lineRule="auto"/>
        <w:ind w:left="776" w:right="51"/>
        <w:jc w:val="both"/>
        <w:rPr>
          <w:rFonts w:ascii="Arial" w:hAnsi="Arial" w:cs="Arial"/>
          <w:spacing w:val="-3"/>
          <w:lang w:val="es-MX"/>
        </w:rPr>
      </w:pPr>
    </w:p>
    <w:p w:rsidR="00622403" w:rsidRPr="006C77D1" w:rsidRDefault="00622403" w:rsidP="000A44EB">
      <w:pPr>
        <w:spacing w:line="239" w:lineRule="auto"/>
        <w:ind w:left="993" w:right="51"/>
        <w:jc w:val="both"/>
        <w:rPr>
          <w:rFonts w:ascii="Arial" w:hAnsi="Arial" w:cs="Arial"/>
          <w:lang w:val="es-MX"/>
        </w:rPr>
      </w:pPr>
      <w:r w:rsidRPr="006C77D1">
        <w:rPr>
          <w:rFonts w:ascii="Arial" w:hAnsi="Arial" w:cs="Arial"/>
          <w:lang w:val="es-MX"/>
        </w:rPr>
        <w:lastRenderedPageBreak/>
        <w:t xml:space="preserve">Las intervenciones e interacciones en los participantes actuales se detienen, a menos que el </w:t>
      </w:r>
      <w:r w:rsidR="006C77D1">
        <w:rPr>
          <w:rFonts w:ascii="Arial" w:hAnsi="Arial" w:cs="Arial"/>
          <w:lang w:val="es-MX"/>
        </w:rPr>
        <w:t>CEI</w:t>
      </w:r>
      <w:r w:rsidRPr="006C77D1">
        <w:rPr>
          <w:rFonts w:ascii="Arial" w:hAnsi="Arial" w:cs="Arial"/>
          <w:lang w:val="es-MX"/>
        </w:rPr>
        <w:t xml:space="preserve"> encuentre una preocupación de seguridad primordial o un problema ético involucrado, de modo que lo mejor para </w:t>
      </w:r>
      <w:r w:rsidR="00A05A38">
        <w:rPr>
          <w:rFonts w:ascii="Arial" w:hAnsi="Arial" w:cs="Arial"/>
          <w:lang w:val="es-MX"/>
        </w:rPr>
        <w:t>algún participante</w:t>
      </w:r>
      <w:r w:rsidRPr="006C77D1">
        <w:rPr>
          <w:rFonts w:ascii="Arial" w:hAnsi="Arial" w:cs="Arial"/>
          <w:lang w:val="es-MX"/>
        </w:rPr>
        <w:t xml:space="preserve"> sea continuar </w:t>
      </w:r>
      <w:r w:rsidR="00A05A38">
        <w:rPr>
          <w:rFonts w:ascii="Arial" w:hAnsi="Arial" w:cs="Arial"/>
          <w:lang w:val="es-MX"/>
        </w:rPr>
        <w:t>en el estudio</w:t>
      </w:r>
      <w:r w:rsidRPr="006C77D1">
        <w:rPr>
          <w:rFonts w:ascii="Arial" w:hAnsi="Arial" w:cs="Arial"/>
          <w:lang w:val="es-MX"/>
        </w:rPr>
        <w:t>.</w:t>
      </w:r>
    </w:p>
    <w:p w:rsidR="000A44EB" w:rsidRPr="006C77D1" w:rsidRDefault="000A44EB" w:rsidP="008630D9">
      <w:pPr>
        <w:pStyle w:val="List-Level3"/>
        <w:ind w:left="993" w:right="51" w:hanging="285"/>
        <w:contextualSpacing/>
        <w:jc w:val="both"/>
        <w:rPr>
          <w:szCs w:val="24"/>
          <w:lang w:val="es-MX"/>
        </w:rPr>
      </w:pPr>
    </w:p>
    <w:p w:rsidR="0084626A" w:rsidRPr="006C77D1" w:rsidRDefault="00622403" w:rsidP="000A44EB">
      <w:pPr>
        <w:pStyle w:val="List-Level3"/>
        <w:ind w:left="993" w:right="51" w:firstLine="0"/>
        <w:contextualSpacing/>
        <w:jc w:val="both"/>
        <w:rPr>
          <w:szCs w:val="24"/>
          <w:lang w:val="es-MX"/>
        </w:rPr>
      </w:pPr>
      <w:r w:rsidRPr="006C77D1">
        <w:rPr>
          <w:szCs w:val="24"/>
          <w:lang w:val="es-MX"/>
        </w:rPr>
        <w:t xml:space="preserve">Es posible que no se </w:t>
      </w:r>
      <w:r w:rsidR="00A05A38">
        <w:rPr>
          <w:szCs w:val="24"/>
          <w:lang w:val="es-MX"/>
        </w:rPr>
        <w:t xml:space="preserve">recluten nuevos </w:t>
      </w:r>
      <w:r w:rsidRPr="006C77D1">
        <w:rPr>
          <w:szCs w:val="24"/>
          <w:lang w:val="es-MX"/>
        </w:rPr>
        <w:t>participantes.</w:t>
      </w:r>
    </w:p>
    <w:p w:rsidR="00D816B5" w:rsidRPr="006C77D1" w:rsidRDefault="00D816B5" w:rsidP="00622403">
      <w:pPr>
        <w:pStyle w:val="List-Level3"/>
        <w:contextualSpacing/>
        <w:jc w:val="both"/>
        <w:rPr>
          <w:lang w:val="es-MX"/>
        </w:rPr>
      </w:pPr>
    </w:p>
    <w:p w:rsidR="00A05A38" w:rsidRPr="00D328D0" w:rsidRDefault="00A05A38" w:rsidP="00A05A38">
      <w:pPr>
        <w:pStyle w:val="Level4bodystyle"/>
        <w:ind w:left="993"/>
        <w:jc w:val="both"/>
        <w:rPr>
          <w:lang w:val="es-MX"/>
        </w:rPr>
      </w:pPr>
      <w:r w:rsidRPr="00D328D0">
        <w:rPr>
          <w:lang w:val="es-MX"/>
        </w:rPr>
        <w:t xml:space="preserve">Se deberá de entregar estos reportes treinta (30) días antes de la fecha de vencimiento de la aprobación del </w:t>
      </w:r>
      <w:r>
        <w:rPr>
          <w:lang w:val="es-MX"/>
        </w:rPr>
        <w:t>CEI</w:t>
      </w:r>
      <w:r w:rsidRPr="00D328D0">
        <w:rPr>
          <w:lang w:val="es-MX"/>
        </w:rPr>
        <w:t>, los investigadores que solicitan la renovación de un proyecto de investigación aprobado deben someter:</w:t>
      </w:r>
    </w:p>
    <w:p w:rsidR="00A05A38" w:rsidRPr="00D328D0" w:rsidRDefault="00A05A38" w:rsidP="00A05A38">
      <w:pPr>
        <w:pStyle w:val="List-Level1"/>
        <w:numPr>
          <w:ilvl w:val="0"/>
          <w:numId w:val="28"/>
        </w:numPr>
        <w:tabs>
          <w:tab w:val="num" w:pos="1980"/>
        </w:tabs>
        <w:jc w:val="both"/>
        <w:rPr>
          <w:lang w:val="es-MX"/>
        </w:rPr>
      </w:pPr>
      <w:r w:rsidRPr="00D328D0">
        <w:rPr>
          <w:lang w:val="es-MX"/>
        </w:rPr>
        <w:t xml:space="preserve"> Informe completo de revisión continua y la petición para la renovación (Formato RR 404-A).  </w:t>
      </w:r>
    </w:p>
    <w:p w:rsidR="00A05A38" w:rsidRDefault="00A05A38" w:rsidP="00A05A38">
      <w:pPr>
        <w:pStyle w:val="List-Level1"/>
        <w:numPr>
          <w:ilvl w:val="0"/>
          <w:numId w:val="28"/>
        </w:numPr>
        <w:tabs>
          <w:tab w:val="num" w:pos="1980"/>
        </w:tabs>
        <w:jc w:val="both"/>
        <w:rPr>
          <w:lang w:val="es-MX"/>
        </w:rPr>
      </w:pPr>
      <w:r w:rsidRPr="00D328D0">
        <w:rPr>
          <w:lang w:val="es-MX"/>
        </w:rPr>
        <w:t xml:space="preserve">Todos los materiales requeridos indicados en el formato también se requieren antes de la revisión.  </w:t>
      </w:r>
    </w:p>
    <w:p w:rsidR="00A05A38" w:rsidRPr="00D328D0" w:rsidRDefault="00A05A38" w:rsidP="00A05A38">
      <w:pPr>
        <w:pStyle w:val="List-Level1"/>
        <w:numPr>
          <w:ilvl w:val="0"/>
          <w:numId w:val="28"/>
        </w:numPr>
        <w:tabs>
          <w:tab w:val="num" w:pos="1980"/>
        </w:tabs>
        <w:jc w:val="both"/>
        <w:rPr>
          <w:lang w:val="es-MX"/>
        </w:rPr>
      </w:pPr>
    </w:p>
    <w:p w:rsidR="001B28CA" w:rsidRPr="006C77D1" w:rsidRDefault="001B28CA" w:rsidP="001B28CA">
      <w:pPr>
        <w:pStyle w:val="List-Level1"/>
        <w:tabs>
          <w:tab w:val="clear" w:pos="720"/>
          <w:tab w:val="num" w:pos="1980"/>
        </w:tabs>
        <w:contextualSpacing/>
        <w:jc w:val="both"/>
        <w:rPr>
          <w:lang w:val="es-MX"/>
        </w:rPr>
      </w:pPr>
      <w:r w:rsidRPr="006C77D1">
        <w:rPr>
          <w:lang w:val="es-MX"/>
        </w:rPr>
        <w:t>1.2.3 En caso de que se informe un incumplimiento grave o recurrente, un evento imprevisto que implique riesgo para los participantes u otros.</w:t>
      </w:r>
    </w:p>
    <w:p w:rsidR="001B28CA" w:rsidRPr="006C77D1" w:rsidRDefault="001B28CA" w:rsidP="001B28CA">
      <w:pPr>
        <w:pStyle w:val="List-Level3"/>
        <w:ind w:left="2088" w:firstLine="0"/>
        <w:contextualSpacing/>
        <w:jc w:val="both"/>
        <w:rPr>
          <w:lang w:val="es-MX"/>
        </w:rPr>
      </w:pPr>
    </w:p>
    <w:p w:rsidR="001B28CA" w:rsidRPr="006C77D1" w:rsidRDefault="001B28CA" w:rsidP="00A05A38">
      <w:pPr>
        <w:pStyle w:val="List-Level1"/>
        <w:tabs>
          <w:tab w:val="clear" w:pos="720"/>
        </w:tabs>
        <w:ind w:firstLine="0"/>
        <w:contextualSpacing/>
        <w:jc w:val="both"/>
        <w:rPr>
          <w:lang w:val="es-MX"/>
        </w:rPr>
      </w:pPr>
      <w:r w:rsidRPr="006C77D1">
        <w:rPr>
          <w:lang w:val="es-MX"/>
        </w:rPr>
        <w:t>En general, en informes o inquietudes sobre incumplimiento</w:t>
      </w:r>
      <w:r w:rsidR="00A05A38">
        <w:rPr>
          <w:lang w:val="es-MX"/>
        </w:rPr>
        <w:t>s</w:t>
      </w:r>
      <w:r w:rsidRPr="006C77D1">
        <w:rPr>
          <w:lang w:val="es-MX"/>
        </w:rPr>
        <w:t xml:space="preserve"> o evento</w:t>
      </w:r>
      <w:r w:rsidR="00A05A38">
        <w:rPr>
          <w:lang w:val="es-MX"/>
        </w:rPr>
        <w:t>s</w:t>
      </w:r>
      <w:r w:rsidRPr="006C77D1">
        <w:rPr>
          <w:lang w:val="es-MX"/>
        </w:rPr>
        <w:t xml:space="preserve"> imprevisto que implique</w:t>
      </w:r>
      <w:r w:rsidR="00A05A38">
        <w:rPr>
          <w:lang w:val="es-MX"/>
        </w:rPr>
        <w:t>n</w:t>
      </w:r>
      <w:r w:rsidRPr="006C77D1">
        <w:rPr>
          <w:lang w:val="es-MX"/>
        </w:rPr>
        <w:t xml:space="preserve"> un riesgo para los participantes en relación con los </w:t>
      </w:r>
      <w:r w:rsidR="00A05A38">
        <w:rPr>
          <w:lang w:val="es-MX"/>
        </w:rPr>
        <w:t>estudios de investigación</w:t>
      </w:r>
      <w:r w:rsidRPr="006C77D1">
        <w:rPr>
          <w:lang w:val="es-MX"/>
        </w:rPr>
        <w:t xml:space="preserve">, nuestro </w:t>
      </w:r>
      <w:r w:rsidR="006C77D1">
        <w:rPr>
          <w:lang w:val="es-MX"/>
        </w:rPr>
        <w:t>CEI</w:t>
      </w:r>
      <w:r w:rsidRPr="006C77D1">
        <w:rPr>
          <w:lang w:val="es-MX"/>
        </w:rPr>
        <w:t xml:space="preserve"> asume las responsabilidades de revisión y monitoreo además de tomar medidas de precaución como se describe en nuestros procedimientos </w:t>
      </w:r>
      <w:r w:rsidR="00A05A38">
        <w:rPr>
          <w:lang w:val="es-MX"/>
        </w:rPr>
        <w:t>de operación estándar</w:t>
      </w:r>
      <w:r w:rsidRPr="006C77D1">
        <w:rPr>
          <w:lang w:val="es-MX"/>
        </w:rPr>
        <w:t xml:space="preserve">, incluida la suspensión de la investigación, esto con el propósito de proteger los derechos y el bienestar de los humanos mientras se examina y aclara la situación. Cualquier suspensión o terminación de la investigación es comunicada inmediatamente </w:t>
      </w:r>
      <w:r w:rsidR="00A05A38">
        <w:rPr>
          <w:lang w:val="es-MX"/>
        </w:rPr>
        <w:t>a la Subdirección de Investigación</w:t>
      </w:r>
      <w:r w:rsidRPr="006C77D1">
        <w:rPr>
          <w:lang w:val="es-MX"/>
        </w:rPr>
        <w:t>, para que presente los in</w:t>
      </w:r>
      <w:r w:rsidR="00A05A38">
        <w:rPr>
          <w:lang w:val="es-MX"/>
        </w:rPr>
        <w:t xml:space="preserve">formes externos necesarios. Si </w:t>
      </w:r>
      <w:r w:rsidRPr="006C77D1">
        <w:rPr>
          <w:lang w:val="es-MX"/>
        </w:rPr>
        <w:t xml:space="preserve">después de la revisión inicial, el </w:t>
      </w:r>
      <w:r w:rsidR="006C77D1">
        <w:rPr>
          <w:lang w:val="es-MX"/>
        </w:rPr>
        <w:t>CEI</w:t>
      </w:r>
      <w:r w:rsidRPr="006C77D1">
        <w:rPr>
          <w:lang w:val="es-MX"/>
        </w:rPr>
        <w:t xml:space="preserve"> decide que la situación puede presentar un incumplimiento </w:t>
      </w:r>
      <w:r w:rsidR="00A05A38">
        <w:rPr>
          <w:lang w:val="es-MX"/>
        </w:rPr>
        <w:t>grave</w:t>
      </w:r>
      <w:r w:rsidRPr="006C77D1">
        <w:rPr>
          <w:lang w:val="es-MX"/>
        </w:rPr>
        <w:t xml:space="preserve"> o prolongado, el caso se informa </w:t>
      </w:r>
      <w:r w:rsidR="00A05A38">
        <w:rPr>
          <w:lang w:val="es-MX"/>
        </w:rPr>
        <w:t>a la Subdirección</w:t>
      </w:r>
      <w:r w:rsidR="00DF610D">
        <w:rPr>
          <w:lang w:val="es-MX"/>
        </w:rPr>
        <w:t xml:space="preserve"> de Investigación, </w:t>
      </w:r>
      <w:r w:rsidR="00A05A38">
        <w:rPr>
          <w:lang w:val="es-MX"/>
        </w:rPr>
        <w:t>quien</w:t>
      </w:r>
      <w:r w:rsidRPr="006C77D1">
        <w:rPr>
          <w:lang w:val="es-MX"/>
        </w:rPr>
        <w:t xml:space="preserve">, a su discreción, puede llevar a cabo más investigaciones </w:t>
      </w:r>
      <w:r w:rsidR="00DF610D">
        <w:rPr>
          <w:lang w:val="es-MX"/>
        </w:rPr>
        <w:t>para determinar s</w:t>
      </w:r>
      <w:r w:rsidRPr="006C77D1">
        <w:rPr>
          <w:lang w:val="es-MX"/>
        </w:rPr>
        <w:t>i impli</w:t>
      </w:r>
      <w:r w:rsidR="00DF610D">
        <w:rPr>
          <w:lang w:val="es-MX"/>
        </w:rPr>
        <w:t>ca un riesgo para los participantes e informar</w:t>
      </w:r>
      <w:r w:rsidRPr="006C77D1">
        <w:rPr>
          <w:lang w:val="es-MX"/>
        </w:rPr>
        <w:t xml:space="preserve"> de inmediato (en un plazo no mayor de 30 día</w:t>
      </w:r>
      <w:r w:rsidR="00DF610D">
        <w:rPr>
          <w:lang w:val="es-MX"/>
        </w:rPr>
        <w:t>s) al Secretario de Investigación Clínica</w:t>
      </w:r>
      <w:r w:rsidRPr="006C77D1">
        <w:rPr>
          <w:lang w:val="es-MX"/>
        </w:rPr>
        <w:t xml:space="preserve"> para que presente los informes externos necesarios.</w:t>
      </w:r>
    </w:p>
    <w:p w:rsidR="001B28CA" w:rsidRPr="006C77D1" w:rsidRDefault="001B28CA" w:rsidP="001B28CA">
      <w:pPr>
        <w:pStyle w:val="List-Level1"/>
        <w:tabs>
          <w:tab w:val="clear" w:pos="720"/>
        </w:tabs>
        <w:contextualSpacing/>
        <w:jc w:val="both"/>
        <w:rPr>
          <w:lang w:val="es-MX"/>
        </w:rPr>
      </w:pPr>
    </w:p>
    <w:p w:rsidR="00DF610D" w:rsidRDefault="001B28CA" w:rsidP="001B28CA">
      <w:pPr>
        <w:pStyle w:val="List-Level1"/>
        <w:tabs>
          <w:tab w:val="clear" w:pos="720"/>
        </w:tabs>
        <w:contextualSpacing/>
        <w:jc w:val="both"/>
        <w:rPr>
          <w:lang w:val="es-MX"/>
        </w:rPr>
      </w:pPr>
      <w:r w:rsidRPr="006C77D1">
        <w:rPr>
          <w:lang w:val="es-MX"/>
        </w:rPr>
        <w:t xml:space="preserve">En caso de que se detecte o </w:t>
      </w:r>
      <w:r w:rsidR="00DF610D">
        <w:rPr>
          <w:lang w:val="es-MX"/>
        </w:rPr>
        <w:t xml:space="preserve">se </w:t>
      </w:r>
      <w:r w:rsidRPr="006C77D1">
        <w:rPr>
          <w:lang w:val="es-MX"/>
        </w:rPr>
        <w:t xml:space="preserve">nos notifique algún evento de incumplimiento grave por parte de un investigador principal, personal o cualquier persona involucrada en la investigación clínica de nuestra Institución, el Presidente </w:t>
      </w:r>
      <w:r w:rsidRPr="006C77D1">
        <w:rPr>
          <w:lang w:val="es-MX"/>
        </w:rPr>
        <w:lastRenderedPageBreak/>
        <w:t xml:space="preserve">del </w:t>
      </w:r>
      <w:r w:rsidR="00DF610D">
        <w:rPr>
          <w:lang w:val="es-MX"/>
        </w:rPr>
        <w:t>CEI</w:t>
      </w:r>
      <w:r w:rsidRPr="006C77D1">
        <w:rPr>
          <w:lang w:val="es-MX"/>
        </w:rPr>
        <w:t xml:space="preserve"> lo notificará al </w:t>
      </w:r>
      <w:r w:rsidR="00DF610D">
        <w:rPr>
          <w:lang w:val="es-MX"/>
        </w:rPr>
        <w:t>Subdirector</w:t>
      </w:r>
      <w:r w:rsidRPr="006C77D1">
        <w:rPr>
          <w:lang w:val="es-MX"/>
        </w:rPr>
        <w:t xml:space="preserve"> de Investigación </w:t>
      </w:r>
      <w:r w:rsidR="00DF610D">
        <w:rPr>
          <w:lang w:val="es-MX"/>
        </w:rPr>
        <w:t>en</w:t>
      </w:r>
      <w:r w:rsidRPr="006C77D1">
        <w:rPr>
          <w:lang w:val="es-MX"/>
        </w:rPr>
        <w:t xml:space="preserve"> un plazo no </w:t>
      </w:r>
      <w:r w:rsidR="00DF610D">
        <w:rPr>
          <w:lang w:val="es-MX"/>
        </w:rPr>
        <w:t xml:space="preserve">mayor </w:t>
      </w:r>
      <w:r w:rsidRPr="006C77D1">
        <w:rPr>
          <w:lang w:val="es-MX"/>
        </w:rPr>
        <w:t xml:space="preserve">a 30 días. </w:t>
      </w:r>
    </w:p>
    <w:p w:rsidR="00DF610D" w:rsidRDefault="00DF610D" w:rsidP="001B28CA">
      <w:pPr>
        <w:pStyle w:val="List-Level1"/>
        <w:tabs>
          <w:tab w:val="clear" w:pos="720"/>
        </w:tabs>
        <w:contextualSpacing/>
        <w:jc w:val="both"/>
        <w:rPr>
          <w:lang w:val="es-MX"/>
        </w:rPr>
      </w:pPr>
    </w:p>
    <w:p w:rsidR="001B28CA" w:rsidRPr="006C77D1" w:rsidRDefault="001B28CA" w:rsidP="001B28CA">
      <w:pPr>
        <w:pStyle w:val="List-Level1"/>
        <w:tabs>
          <w:tab w:val="clear" w:pos="720"/>
        </w:tabs>
        <w:contextualSpacing/>
        <w:jc w:val="both"/>
        <w:rPr>
          <w:lang w:val="es-MX"/>
        </w:rPr>
      </w:pPr>
      <w:r w:rsidRPr="006C77D1">
        <w:rPr>
          <w:lang w:val="es-MX"/>
        </w:rPr>
        <w:t xml:space="preserve">También tenemos un apartado </w:t>
      </w:r>
      <w:r w:rsidR="00DF610D">
        <w:rPr>
          <w:lang w:val="es-MX"/>
        </w:rPr>
        <w:t>específico en la minuta</w:t>
      </w:r>
      <w:r w:rsidRPr="006C77D1">
        <w:rPr>
          <w:lang w:val="es-MX"/>
        </w:rPr>
        <w:t xml:space="preserve"> para documentar cualquier incumplimiento grave o </w:t>
      </w:r>
      <w:r w:rsidR="00DF610D">
        <w:rPr>
          <w:lang w:val="es-MX"/>
        </w:rPr>
        <w:t>recurrente</w:t>
      </w:r>
      <w:r w:rsidRPr="006C77D1">
        <w:rPr>
          <w:lang w:val="es-MX"/>
        </w:rPr>
        <w:t xml:space="preserve"> que hayan recibido los comités así como el plan de acción, las intervenciones a realizar, las personas a notificar o la educación </w:t>
      </w:r>
      <w:r w:rsidR="00DF610D">
        <w:rPr>
          <w:lang w:val="es-MX"/>
        </w:rPr>
        <w:t>que se deba dar. La coordinación de control de calidad al terminar l</w:t>
      </w:r>
      <w:r w:rsidRPr="006C77D1">
        <w:rPr>
          <w:lang w:val="es-MX"/>
        </w:rPr>
        <w:t>a reunión de los Comités,</w:t>
      </w:r>
      <w:r w:rsidR="00DF610D">
        <w:rPr>
          <w:lang w:val="es-MX"/>
        </w:rPr>
        <w:t xml:space="preserve"> revisará la minuta</w:t>
      </w:r>
      <w:r w:rsidRPr="006C77D1">
        <w:rPr>
          <w:lang w:val="es-MX"/>
        </w:rPr>
        <w:t xml:space="preserve"> para ver que todo haya sido documentado por lo que serán los encargados de revisar y verificar que este apartado haya sido respondido</w:t>
      </w:r>
      <w:r w:rsidR="00DF610D">
        <w:rPr>
          <w:lang w:val="es-MX"/>
        </w:rPr>
        <w:t xml:space="preserve"> completa y correctamente</w:t>
      </w:r>
      <w:r w:rsidRPr="006C77D1">
        <w:rPr>
          <w:lang w:val="es-MX"/>
        </w:rPr>
        <w:t>.</w:t>
      </w:r>
    </w:p>
    <w:p w:rsidR="001B28CA" w:rsidRPr="006C77D1" w:rsidRDefault="001B28CA" w:rsidP="001B28CA">
      <w:pPr>
        <w:pStyle w:val="List-Level1"/>
        <w:tabs>
          <w:tab w:val="clear" w:pos="720"/>
        </w:tabs>
        <w:contextualSpacing/>
        <w:jc w:val="both"/>
        <w:rPr>
          <w:lang w:val="es-MX"/>
        </w:rPr>
      </w:pPr>
    </w:p>
    <w:p w:rsidR="001B28CA" w:rsidRPr="006C77D1" w:rsidRDefault="001B28CA" w:rsidP="001B28CA">
      <w:pPr>
        <w:pStyle w:val="List-Level1"/>
        <w:tabs>
          <w:tab w:val="clear" w:pos="720"/>
        </w:tabs>
        <w:contextualSpacing/>
        <w:jc w:val="both"/>
        <w:rPr>
          <w:lang w:val="es-MX"/>
        </w:rPr>
      </w:pPr>
      <w:r w:rsidRPr="006C77D1">
        <w:rPr>
          <w:lang w:val="es-MX"/>
        </w:rPr>
        <w:t xml:space="preserve">Asimismo, en caso de ser necesario, el Presidente del </w:t>
      </w:r>
      <w:r w:rsidR="006C77D1">
        <w:rPr>
          <w:lang w:val="es-MX"/>
        </w:rPr>
        <w:t>CEI</w:t>
      </w:r>
      <w:r w:rsidRPr="006C77D1">
        <w:rPr>
          <w:lang w:val="es-MX"/>
        </w:rPr>
        <w:t xml:space="preserve"> notificará al Director o al Responsable del sitio de investigación externo las acciones que </w:t>
      </w:r>
      <w:proofErr w:type="gramStart"/>
      <w:r w:rsidRPr="006C77D1">
        <w:rPr>
          <w:lang w:val="es-MX"/>
        </w:rPr>
        <w:t>debe</w:t>
      </w:r>
      <w:proofErr w:type="gramEnd"/>
      <w:r w:rsidRPr="006C77D1">
        <w:rPr>
          <w:lang w:val="es-MX"/>
        </w:rPr>
        <w:t xml:space="preserve"> realizar el investigador principal o el sitio externo.</w:t>
      </w:r>
    </w:p>
    <w:p w:rsidR="001B28CA" w:rsidRPr="006C77D1" w:rsidRDefault="001B28CA" w:rsidP="001B28CA">
      <w:pPr>
        <w:pStyle w:val="List-Level1"/>
        <w:tabs>
          <w:tab w:val="clear" w:pos="720"/>
        </w:tabs>
        <w:contextualSpacing/>
        <w:jc w:val="both"/>
        <w:rPr>
          <w:lang w:val="es-MX"/>
        </w:rPr>
      </w:pPr>
    </w:p>
    <w:p w:rsidR="001B28CA" w:rsidRPr="006C77D1" w:rsidRDefault="001B28CA" w:rsidP="001B28CA">
      <w:pPr>
        <w:pStyle w:val="List-Level1"/>
        <w:tabs>
          <w:tab w:val="clear" w:pos="720"/>
        </w:tabs>
        <w:contextualSpacing/>
        <w:jc w:val="both"/>
        <w:rPr>
          <w:lang w:val="es-MX"/>
        </w:rPr>
      </w:pPr>
      <w:r w:rsidRPr="006C77D1">
        <w:rPr>
          <w:lang w:val="es-MX"/>
        </w:rPr>
        <w:t>En caso de que</w:t>
      </w:r>
      <w:r w:rsidR="00DF610D">
        <w:rPr>
          <w:lang w:val="es-MX"/>
        </w:rPr>
        <w:t xml:space="preserve"> a pesar</w:t>
      </w:r>
      <w:r w:rsidRPr="006C77D1">
        <w:rPr>
          <w:lang w:val="es-MX"/>
        </w:rPr>
        <w:t xml:space="preserve"> de todas estas acciones los hechos continúen siendo un problema o una situación de preocupación, el Presidente del </w:t>
      </w:r>
      <w:r w:rsidR="006C77D1">
        <w:rPr>
          <w:lang w:val="es-MX"/>
        </w:rPr>
        <w:t>CEI</w:t>
      </w:r>
      <w:r w:rsidRPr="006C77D1">
        <w:rPr>
          <w:lang w:val="es-MX"/>
        </w:rPr>
        <w:t xml:space="preserve"> notificará a cualquier Entidad Reguladora según sea necesario (por ejemplo, COFEPRIS o CONBIOETICA)</w:t>
      </w:r>
      <w:r w:rsidR="00DF610D">
        <w:rPr>
          <w:lang w:val="es-MX"/>
        </w:rPr>
        <w:t xml:space="preserve"> para solicitar la suspensión temporal o definitiva del sitio de investigación</w:t>
      </w:r>
      <w:r w:rsidRPr="006C77D1">
        <w:rPr>
          <w:lang w:val="es-MX"/>
        </w:rPr>
        <w:t>.</w:t>
      </w:r>
    </w:p>
    <w:p w:rsidR="0084626A" w:rsidRPr="006C77D1" w:rsidRDefault="0084626A" w:rsidP="008F01F0">
      <w:pPr>
        <w:pStyle w:val="Ttulo2"/>
        <w:ind w:left="1026" w:hanging="450"/>
        <w:contextualSpacing/>
        <w:jc w:val="both"/>
        <w:rPr>
          <w:rFonts w:ascii="Arial" w:hAnsi="Arial" w:cs="Arial"/>
          <w:color w:val="auto"/>
          <w:lang w:val="es-MX"/>
        </w:rPr>
      </w:pPr>
      <w:r w:rsidRPr="006C77D1">
        <w:rPr>
          <w:rFonts w:ascii="Arial" w:hAnsi="Arial" w:cs="Arial"/>
          <w:color w:val="auto"/>
          <w:sz w:val="24"/>
          <w:lang w:val="es-MX"/>
        </w:rPr>
        <w:t>1.3 Acciones a tomar si la documentación es inadecuada o se requiere información adicional</w:t>
      </w:r>
    </w:p>
    <w:p w:rsidR="009D58B2" w:rsidRPr="006C77D1" w:rsidRDefault="009D58B2" w:rsidP="008F01F0">
      <w:pPr>
        <w:pStyle w:val="level2bodystyle"/>
        <w:contextualSpacing/>
        <w:jc w:val="both"/>
        <w:rPr>
          <w:sz w:val="24"/>
          <w:lang w:val="es-MX"/>
        </w:rPr>
      </w:pPr>
    </w:p>
    <w:p w:rsidR="0084626A" w:rsidRDefault="0084626A" w:rsidP="008F01F0">
      <w:pPr>
        <w:pStyle w:val="level2bodystyle"/>
        <w:contextualSpacing/>
        <w:jc w:val="both"/>
        <w:rPr>
          <w:sz w:val="24"/>
          <w:lang w:val="es-MX"/>
        </w:rPr>
      </w:pPr>
      <w:r w:rsidRPr="006C77D1">
        <w:rPr>
          <w:sz w:val="24"/>
          <w:lang w:val="es-MX"/>
        </w:rPr>
        <w:t xml:space="preserve">Si el </w:t>
      </w:r>
      <w:r w:rsidR="006C77D1">
        <w:rPr>
          <w:sz w:val="24"/>
          <w:lang w:val="es-MX"/>
        </w:rPr>
        <w:t>CEI</w:t>
      </w:r>
      <w:r w:rsidRPr="006C77D1">
        <w:rPr>
          <w:sz w:val="24"/>
          <w:lang w:val="es-MX"/>
        </w:rPr>
        <w:t xml:space="preserve"> o su personal </w:t>
      </w:r>
      <w:r w:rsidR="00DF610D" w:rsidRPr="006C77D1">
        <w:rPr>
          <w:sz w:val="24"/>
          <w:lang w:val="es-MX"/>
        </w:rPr>
        <w:t>determinan</w:t>
      </w:r>
      <w:r w:rsidRPr="006C77D1">
        <w:rPr>
          <w:sz w:val="24"/>
          <w:lang w:val="es-MX"/>
        </w:rPr>
        <w:t xml:space="preserve"> que los documentos presentados son inadecuados, es posible que los investigadores deban presentar información adicional o que se requiera su presencia para responder preguntas o explicar los detalles del estudio. El </w:t>
      </w:r>
      <w:r w:rsidR="006C77D1">
        <w:rPr>
          <w:sz w:val="24"/>
          <w:lang w:val="es-MX"/>
        </w:rPr>
        <w:t>CEI</w:t>
      </w:r>
      <w:r w:rsidRPr="006C77D1">
        <w:rPr>
          <w:sz w:val="24"/>
          <w:lang w:val="es-MX"/>
        </w:rPr>
        <w:t xml:space="preserve"> no revisará ninguna presentación incompleta.</w:t>
      </w:r>
    </w:p>
    <w:p w:rsidR="00DF610D" w:rsidRDefault="00DF610D" w:rsidP="008F01F0">
      <w:pPr>
        <w:pStyle w:val="level2bodystyle"/>
        <w:contextualSpacing/>
        <w:jc w:val="both"/>
        <w:rPr>
          <w:sz w:val="24"/>
          <w:lang w:val="es-MX"/>
        </w:rPr>
      </w:pPr>
    </w:p>
    <w:p w:rsidR="00DF610D" w:rsidRPr="004C4338" w:rsidRDefault="00DF610D" w:rsidP="00DF610D">
      <w:pPr>
        <w:pStyle w:val="level2bodystyle"/>
        <w:jc w:val="both"/>
        <w:rPr>
          <w:sz w:val="24"/>
          <w:lang w:val="es-MX"/>
        </w:rPr>
      </w:pPr>
      <w:r>
        <w:rPr>
          <w:sz w:val="24"/>
          <w:lang w:val="es-MX"/>
        </w:rPr>
        <w:t>De igual manera se mencionará a la persona que esté sometiendo los documentos, que n</w:t>
      </w:r>
      <w:r w:rsidRPr="004C4338">
        <w:rPr>
          <w:sz w:val="24"/>
          <w:lang w:val="es-MX"/>
        </w:rPr>
        <w:t>o es necesario que sometan distintas versiones del mismo documento en el mismo sometimiento, el CEI no aprobará versiones anteriores de documentos que no fueron sometidos en tiempo y forma, ya que están obsoletos</w:t>
      </w:r>
      <w:r>
        <w:rPr>
          <w:sz w:val="24"/>
          <w:lang w:val="es-MX"/>
        </w:rPr>
        <w:t xml:space="preserve"> y su información ya no es la más completa y adecuada para el estudio de investigación</w:t>
      </w:r>
      <w:r w:rsidRPr="004C4338">
        <w:rPr>
          <w:sz w:val="24"/>
          <w:lang w:val="es-MX"/>
        </w:rPr>
        <w:t xml:space="preserve">. Se aprobará únicamente la versión más reciente de los documentos, ya que esta es la que se encuentra vigente. </w:t>
      </w:r>
    </w:p>
    <w:p w:rsidR="00DF610D" w:rsidRPr="004C4338" w:rsidRDefault="00DF610D" w:rsidP="00DF610D">
      <w:pPr>
        <w:pStyle w:val="level2bodystyle"/>
        <w:jc w:val="both"/>
        <w:rPr>
          <w:lang w:val="es-MX"/>
        </w:rPr>
      </w:pPr>
      <w:r w:rsidRPr="004C4338">
        <w:rPr>
          <w:sz w:val="24"/>
          <w:lang w:val="es-MX"/>
        </w:rPr>
        <w:t xml:space="preserve">En caso de que el sitio de investigación insista en someter versiones anteriores, se les explicará que estas generarán un cargo por </w:t>
      </w:r>
      <w:r>
        <w:rPr>
          <w:sz w:val="24"/>
          <w:lang w:val="es-MX"/>
        </w:rPr>
        <w:t xml:space="preserve">ingreso </w:t>
      </w:r>
      <w:r w:rsidRPr="004C4338">
        <w:rPr>
          <w:sz w:val="24"/>
          <w:lang w:val="es-MX"/>
        </w:rPr>
        <w:lastRenderedPageBreak/>
        <w:t xml:space="preserve">pero no serán mencionadas en la carta de aprobación bajo ninguna circunstancia y sin excepciones. </w:t>
      </w:r>
    </w:p>
    <w:p w:rsidR="006B1A87" w:rsidRPr="006C77D1" w:rsidRDefault="006B1A87" w:rsidP="008F01F0">
      <w:pPr>
        <w:pStyle w:val="level2bodystyle"/>
        <w:contextualSpacing/>
        <w:jc w:val="both"/>
        <w:rPr>
          <w:b/>
          <w:bCs/>
          <w:sz w:val="24"/>
          <w:lang w:val="es-MX"/>
        </w:rPr>
      </w:pPr>
    </w:p>
    <w:p w:rsidR="006B1A87" w:rsidRPr="006C77D1" w:rsidRDefault="00DF610D" w:rsidP="006B1A87">
      <w:pPr>
        <w:pStyle w:val="Ttulo2"/>
        <w:ind w:left="1026" w:hanging="450"/>
        <w:contextualSpacing/>
        <w:jc w:val="both"/>
        <w:rPr>
          <w:rFonts w:ascii="Arial" w:hAnsi="Arial" w:cs="Arial"/>
          <w:color w:val="auto"/>
          <w:lang w:val="es-MX"/>
        </w:rPr>
      </w:pPr>
      <w:r>
        <w:rPr>
          <w:rFonts w:ascii="Arial" w:hAnsi="Arial" w:cs="Arial"/>
          <w:color w:val="auto"/>
          <w:sz w:val="24"/>
          <w:lang w:val="es-MX"/>
        </w:rPr>
        <w:t>1.4 Auditorías</w:t>
      </w:r>
      <w:r w:rsidR="006B1A87" w:rsidRPr="006C77D1">
        <w:rPr>
          <w:rFonts w:ascii="Arial" w:hAnsi="Arial" w:cs="Arial"/>
          <w:color w:val="auto"/>
          <w:sz w:val="24"/>
          <w:lang w:val="es-MX"/>
        </w:rPr>
        <w:t xml:space="preserve"> y revisión del sitio de investigación</w:t>
      </w:r>
    </w:p>
    <w:p w:rsidR="006B1A87" w:rsidRPr="006C77D1" w:rsidRDefault="006B1A87" w:rsidP="006B1A87">
      <w:pPr>
        <w:pStyle w:val="level2bodystyle"/>
        <w:contextualSpacing/>
        <w:jc w:val="both"/>
        <w:rPr>
          <w:sz w:val="24"/>
          <w:lang w:val="es-MX"/>
        </w:rPr>
      </w:pPr>
    </w:p>
    <w:p w:rsidR="00DF610D" w:rsidRDefault="00A73C1B" w:rsidP="006B1A87">
      <w:pPr>
        <w:pStyle w:val="level2bodystyle"/>
        <w:contextualSpacing/>
        <w:jc w:val="both"/>
        <w:rPr>
          <w:sz w:val="24"/>
          <w:lang w:val="es-MX"/>
        </w:rPr>
      </w:pPr>
      <w:r w:rsidRPr="006C77D1">
        <w:rPr>
          <w:sz w:val="24"/>
          <w:lang w:val="es-MX"/>
        </w:rPr>
        <w:t>Como dice la carta de aprob</w:t>
      </w:r>
      <w:r w:rsidR="00DF610D">
        <w:rPr>
          <w:sz w:val="24"/>
          <w:lang w:val="es-MX"/>
        </w:rPr>
        <w:t xml:space="preserve">ación el estudio de investigación </w:t>
      </w:r>
      <w:r w:rsidRPr="006C77D1">
        <w:rPr>
          <w:sz w:val="24"/>
          <w:lang w:val="es-MX"/>
        </w:rPr>
        <w:t xml:space="preserve">será revisado: </w:t>
      </w:r>
    </w:p>
    <w:p w:rsidR="00DF610D" w:rsidRDefault="00A73C1B" w:rsidP="006B1A87">
      <w:pPr>
        <w:pStyle w:val="level2bodystyle"/>
        <w:contextualSpacing/>
        <w:jc w:val="both"/>
        <w:rPr>
          <w:sz w:val="24"/>
          <w:lang w:val="es-MX"/>
        </w:rPr>
      </w:pPr>
      <w:r w:rsidRPr="006C77D1">
        <w:rPr>
          <w:sz w:val="24"/>
          <w:lang w:val="es-MX"/>
        </w:rPr>
        <w:t xml:space="preserve">1. Al menos una vez al año, en función de su naturaleza de investigación. 2. Cuando cualquier modificación pueda o afecte claramente el bienestar y los derechos de los sujetos de investigación o la realización del estudio. 3. Cualquier evento o información nueva que pueda afectar la relación riesgo/beneficio del estudio. </w:t>
      </w:r>
    </w:p>
    <w:p w:rsidR="00DF610D" w:rsidRDefault="00A73C1B" w:rsidP="006B1A87">
      <w:pPr>
        <w:pStyle w:val="level2bodystyle"/>
        <w:contextualSpacing/>
        <w:jc w:val="both"/>
        <w:rPr>
          <w:sz w:val="24"/>
          <w:lang w:val="es-MX"/>
        </w:rPr>
      </w:pPr>
      <w:r w:rsidRPr="006C77D1">
        <w:rPr>
          <w:sz w:val="24"/>
          <w:lang w:val="es-MX"/>
        </w:rPr>
        <w:t xml:space="preserve">4. Asimismo, realizaremos auditorías por parte de la Coordinación de Control de Calidad de la Investigación al azar o cuando lo solicite el Comité. </w:t>
      </w:r>
    </w:p>
    <w:p w:rsidR="00A73C1B" w:rsidRPr="006C77D1" w:rsidRDefault="00A73C1B" w:rsidP="006B1A87">
      <w:pPr>
        <w:pStyle w:val="level2bodystyle"/>
        <w:contextualSpacing/>
        <w:jc w:val="both"/>
        <w:rPr>
          <w:sz w:val="24"/>
          <w:lang w:val="es-MX"/>
        </w:rPr>
      </w:pPr>
      <w:r w:rsidRPr="006C77D1">
        <w:rPr>
          <w:sz w:val="24"/>
          <w:lang w:val="es-MX"/>
        </w:rPr>
        <w:t>5. Todas las revisiones estarán sujetas a los lineamientos de las Buenas Prácticas Clínicas en Investigación, la Ley General de Salud, el Reglamento de la Ley General de Salud en materia de investigación para la salud, la NOM_012-SSA3-2012, el Reglamento Interno de Investigación de nuestra Institución, así como las demás normas aplicables.</w:t>
      </w:r>
    </w:p>
    <w:p w:rsidR="00A73C1B" w:rsidRPr="006C77D1" w:rsidRDefault="00A73C1B" w:rsidP="006B1A87">
      <w:pPr>
        <w:pStyle w:val="level2bodystyle"/>
        <w:contextualSpacing/>
        <w:jc w:val="both"/>
        <w:rPr>
          <w:sz w:val="24"/>
          <w:lang w:val="es-MX"/>
        </w:rPr>
      </w:pPr>
    </w:p>
    <w:p w:rsidR="006B1A87" w:rsidRPr="006C77D1" w:rsidRDefault="006B1A87" w:rsidP="006B1A87">
      <w:pPr>
        <w:pStyle w:val="level2bodystyle"/>
        <w:contextualSpacing/>
        <w:jc w:val="both"/>
        <w:rPr>
          <w:sz w:val="24"/>
          <w:lang w:val="es-MX"/>
        </w:rPr>
      </w:pPr>
      <w:r w:rsidRPr="006C77D1">
        <w:rPr>
          <w:sz w:val="24"/>
          <w:lang w:val="es-MX"/>
        </w:rPr>
        <w:t>La Secretaría de Investigación a través de la Coordinación de Control de Calidad deberá verificar todas las instalaciones, equipos, personal y recursos con los que cuenta el sitio externo para realizar adecuadamente la investigación clínica.</w:t>
      </w:r>
    </w:p>
    <w:p w:rsidR="00971B54" w:rsidRPr="006C77D1" w:rsidRDefault="00971B54" w:rsidP="006B1A87">
      <w:pPr>
        <w:pStyle w:val="level2bodystyle"/>
        <w:contextualSpacing/>
        <w:jc w:val="both"/>
        <w:rPr>
          <w:sz w:val="24"/>
          <w:lang w:val="es-MX"/>
        </w:rPr>
      </w:pPr>
    </w:p>
    <w:p w:rsidR="00971B54" w:rsidRPr="006C77D1" w:rsidRDefault="00971B54" w:rsidP="00971B54">
      <w:pPr>
        <w:pStyle w:val="level2bodystyle"/>
        <w:contextualSpacing/>
        <w:jc w:val="both"/>
        <w:rPr>
          <w:lang w:val="es-MX"/>
        </w:rPr>
      </w:pPr>
      <w:r w:rsidRPr="006C77D1">
        <w:rPr>
          <w:lang w:val="es-MX"/>
        </w:rPr>
        <w:t>El auditor debe avisar al sitio externo con al menos 15 días de anticipación a la visita, a fin de coordinar el viaje, el alojamiento y verificar que el equipo de investigación esté disponible para mostrar el sitio, los documentos y cualquier otra cosa que solicite el auditor.</w:t>
      </w:r>
    </w:p>
    <w:p w:rsidR="00971B54" w:rsidRPr="006C77D1" w:rsidRDefault="00971B54" w:rsidP="00971B54">
      <w:pPr>
        <w:pStyle w:val="level2bodystyle"/>
        <w:contextualSpacing/>
        <w:jc w:val="both"/>
        <w:rPr>
          <w:lang w:val="es-MX"/>
        </w:rPr>
      </w:pPr>
    </w:p>
    <w:p w:rsidR="00971B54" w:rsidRPr="006C77D1" w:rsidRDefault="00971B54" w:rsidP="00971B54">
      <w:pPr>
        <w:pStyle w:val="level2bodystyle"/>
        <w:contextualSpacing/>
        <w:jc w:val="both"/>
        <w:rPr>
          <w:sz w:val="24"/>
          <w:lang w:val="es-MX"/>
        </w:rPr>
      </w:pPr>
      <w:r w:rsidRPr="006C77D1">
        <w:rPr>
          <w:sz w:val="24"/>
          <w:lang w:val="es-MX"/>
        </w:rPr>
        <w:t>El auditor llena un informe interno de la visita, especificando las instalaciones que tiene el sitio externo, los recursos humanos con los que cuenta, los recursos físicos, verificando que todos los documentos estén actualizados, organizados y protegidos de acuerdo a las normas locales.</w:t>
      </w:r>
    </w:p>
    <w:p w:rsidR="00971B54" w:rsidRPr="006C77D1" w:rsidRDefault="00971B54" w:rsidP="00971B54">
      <w:pPr>
        <w:pStyle w:val="level2bodystyle"/>
        <w:contextualSpacing/>
        <w:jc w:val="both"/>
        <w:rPr>
          <w:sz w:val="24"/>
          <w:lang w:val="es-MX"/>
        </w:rPr>
      </w:pPr>
    </w:p>
    <w:p w:rsidR="00971B54" w:rsidRPr="006C77D1" w:rsidRDefault="00971B54" w:rsidP="00971B54">
      <w:pPr>
        <w:pStyle w:val="level2bodystyle"/>
        <w:contextualSpacing/>
        <w:jc w:val="both"/>
        <w:rPr>
          <w:sz w:val="24"/>
          <w:lang w:val="es-MX"/>
        </w:rPr>
      </w:pPr>
      <w:r w:rsidRPr="006C77D1">
        <w:rPr>
          <w:sz w:val="24"/>
          <w:lang w:val="es-MX"/>
        </w:rPr>
        <w:t>Una vez finalizada la visita, el auditor tiene una reunión con el equipo de investigación para comentar los hallazgos y mencionar que recibirán un informe formal a más tardar 30 días después de finalizada la visita.</w:t>
      </w:r>
    </w:p>
    <w:p w:rsidR="00971B54" w:rsidRPr="006C77D1" w:rsidRDefault="00971B54" w:rsidP="00971B54">
      <w:pPr>
        <w:pStyle w:val="level2bodystyle"/>
        <w:contextualSpacing/>
        <w:jc w:val="both"/>
        <w:rPr>
          <w:sz w:val="24"/>
          <w:lang w:val="es-MX"/>
        </w:rPr>
      </w:pPr>
    </w:p>
    <w:p w:rsidR="00971B54" w:rsidRPr="006C77D1" w:rsidRDefault="00971B54" w:rsidP="00971B54">
      <w:pPr>
        <w:pStyle w:val="level2bodystyle"/>
        <w:contextualSpacing/>
        <w:jc w:val="both"/>
        <w:rPr>
          <w:sz w:val="24"/>
          <w:lang w:val="es-MX"/>
        </w:rPr>
      </w:pPr>
      <w:r w:rsidRPr="006C77D1">
        <w:rPr>
          <w:sz w:val="24"/>
          <w:lang w:val="es-MX"/>
        </w:rPr>
        <w:t>Una vez que el sitio externo recibe el informe, tiene 15 días hábiles para responder a todos los hallazgos, demostrando haber resuelto todos o al menos la mayoría. Deben responder con una carta y en caso de ser necesario adjuntar documentos o acreditar que están trabajando para solucionar todos los hallazgos.</w:t>
      </w:r>
    </w:p>
    <w:p w:rsidR="00971B54" w:rsidRPr="006C77D1" w:rsidRDefault="00971B54" w:rsidP="00971B54">
      <w:pPr>
        <w:pStyle w:val="level2bodystyle"/>
        <w:contextualSpacing/>
        <w:jc w:val="both"/>
        <w:rPr>
          <w:sz w:val="24"/>
          <w:lang w:val="es-MX"/>
        </w:rPr>
      </w:pPr>
    </w:p>
    <w:p w:rsidR="00971B54" w:rsidRPr="006C77D1" w:rsidRDefault="00971B54" w:rsidP="00971B54">
      <w:pPr>
        <w:pStyle w:val="level2bodystyle"/>
        <w:contextualSpacing/>
        <w:jc w:val="both"/>
        <w:rPr>
          <w:sz w:val="24"/>
          <w:lang w:val="es-MX"/>
        </w:rPr>
      </w:pPr>
      <w:r w:rsidRPr="006C77D1">
        <w:rPr>
          <w:sz w:val="24"/>
          <w:lang w:val="es-MX"/>
        </w:rPr>
        <w:t>Si no responden a nuestro informe, haremos una auditoría de seguimiento para ver el motivo de la demora y corroborar si han comenzado a trabajar para resolver los hallazgos.</w:t>
      </w:r>
    </w:p>
    <w:p w:rsidR="00971B54" w:rsidRPr="006C77D1" w:rsidRDefault="00971B54" w:rsidP="00971B54">
      <w:pPr>
        <w:pStyle w:val="level2bodystyle"/>
        <w:contextualSpacing/>
        <w:jc w:val="both"/>
        <w:rPr>
          <w:sz w:val="24"/>
          <w:lang w:val="es-MX"/>
        </w:rPr>
      </w:pPr>
    </w:p>
    <w:p w:rsidR="00971B54" w:rsidRPr="006C77D1" w:rsidRDefault="00971B54" w:rsidP="00971B54">
      <w:pPr>
        <w:pStyle w:val="level2bodystyle"/>
        <w:contextualSpacing/>
        <w:jc w:val="both"/>
        <w:rPr>
          <w:sz w:val="24"/>
          <w:lang w:val="es-MX"/>
        </w:rPr>
      </w:pPr>
      <w:r w:rsidRPr="006C77D1">
        <w:rPr>
          <w:sz w:val="24"/>
          <w:lang w:val="es-MX"/>
        </w:rPr>
        <w:t>En caso de que aún no recibamos respuesta o veamos algún otro problema, la Coordinación de Control de Calidad lo notificará a la Secretaría de Investigación.</w:t>
      </w:r>
    </w:p>
    <w:p w:rsidR="00971B54" w:rsidRPr="006C77D1" w:rsidRDefault="00971B54" w:rsidP="00971B54">
      <w:pPr>
        <w:pStyle w:val="level2bodystyle"/>
        <w:contextualSpacing/>
        <w:jc w:val="both"/>
        <w:rPr>
          <w:sz w:val="24"/>
          <w:lang w:val="es-MX"/>
        </w:rPr>
      </w:pPr>
    </w:p>
    <w:p w:rsidR="00971B54" w:rsidRPr="006C77D1" w:rsidRDefault="00971B54" w:rsidP="00971B54">
      <w:pPr>
        <w:pStyle w:val="level2bodystyle"/>
        <w:contextualSpacing/>
        <w:jc w:val="both"/>
        <w:rPr>
          <w:sz w:val="24"/>
          <w:lang w:val="es-MX"/>
        </w:rPr>
      </w:pPr>
      <w:r w:rsidRPr="006C77D1">
        <w:rPr>
          <w:sz w:val="24"/>
          <w:lang w:val="es-MX"/>
        </w:rPr>
        <w:t xml:space="preserve">El Secretario de Investigación notificará al Presidente del </w:t>
      </w:r>
      <w:r w:rsidR="006C77D1">
        <w:rPr>
          <w:sz w:val="24"/>
          <w:lang w:val="es-MX"/>
        </w:rPr>
        <w:t>CEI</w:t>
      </w:r>
      <w:r w:rsidRPr="006C77D1">
        <w:rPr>
          <w:sz w:val="24"/>
          <w:lang w:val="es-MX"/>
        </w:rPr>
        <w:t xml:space="preserve"> y él tiene que presentar el caso en las reuniones del </w:t>
      </w:r>
      <w:r w:rsidR="006C77D1">
        <w:rPr>
          <w:sz w:val="24"/>
          <w:lang w:val="es-MX"/>
        </w:rPr>
        <w:t>CEI</w:t>
      </w:r>
      <w:r w:rsidRPr="006C77D1">
        <w:rPr>
          <w:sz w:val="24"/>
          <w:lang w:val="es-MX"/>
        </w:rPr>
        <w:t xml:space="preserve"> convocadas para decidir qué hacer a continuación.</w:t>
      </w:r>
    </w:p>
    <w:p w:rsidR="000C70A5" w:rsidRPr="006C77D1" w:rsidRDefault="000C70A5" w:rsidP="000C70A5">
      <w:pPr>
        <w:contextualSpacing/>
        <w:jc w:val="both"/>
        <w:rPr>
          <w:rFonts w:ascii="Arial" w:eastAsiaTheme="majorEastAsia" w:hAnsi="Arial" w:cs="Arial"/>
          <w:b/>
          <w:bCs/>
          <w:szCs w:val="26"/>
          <w:lang w:val="es-MX"/>
        </w:rPr>
      </w:pPr>
    </w:p>
    <w:p w:rsidR="000C70A5" w:rsidRPr="006C77D1" w:rsidRDefault="006B1A87" w:rsidP="000C70A5">
      <w:pPr>
        <w:ind w:left="708"/>
        <w:contextualSpacing/>
        <w:jc w:val="both"/>
        <w:rPr>
          <w:rFonts w:ascii="Arial" w:eastAsiaTheme="majorEastAsia" w:hAnsi="Arial" w:cs="Arial"/>
          <w:b/>
          <w:bCs/>
          <w:szCs w:val="26"/>
          <w:lang w:val="es-MX"/>
        </w:rPr>
      </w:pPr>
      <w:r w:rsidRPr="006C77D1">
        <w:rPr>
          <w:rFonts w:ascii="Arial" w:eastAsiaTheme="majorEastAsia" w:hAnsi="Arial" w:cs="Arial"/>
          <w:b/>
          <w:bCs/>
          <w:szCs w:val="26"/>
          <w:lang w:val="es-MX"/>
        </w:rPr>
        <w:t>1.5 Documentos adicionales requeridos si el Protocolo de Investigación proviene de una Institución externa para ser aprobado por nuestros Comités</w:t>
      </w:r>
    </w:p>
    <w:p w:rsidR="000C70A5" w:rsidRPr="006C77D1" w:rsidRDefault="000C70A5" w:rsidP="000C70A5">
      <w:pPr>
        <w:ind w:left="708"/>
        <w:contextualSpacing/>
        <w:jc w:val="both"/>
        <w:rPr>
          <w:rFonts w:ascii="Arial" w:eastAsiaTheme="majorEastAsia" w:hAnsi="Arial" w:cs="Arial"/>
          <w:b/>
          <w:bCs/>
          <w:szCs w:val="26"/>
          <w:lang w:val="es-MX"/>
        </w:rPr>
      </w:pPr>
    </w:p>
    <w:p w:rsidR="000C70A5" w:rsidRPr="006C77D1" w:rsidRDefault="009D58B2" w:rsidP="000C70A5">
      <w:pPr>
        <w:ind w:left="708"/>
        <w:contextualSpacing/>
        <w:jc w:val="both"/>
        <w:rPr>
          <w:rFonts w:ascii="Arial" w:hAnsi="Arial" w:cs="Arial"/>
          <w:szCs w:val="20"/>
          <w:lang w:val="es-MX" w:eastAsia="en-US"/>
        </w:rPr>
      </w:pPr>
      <w:r w:rsidRPr="006C77D1">
        <w:rPr>
          <w:rFonts w:ascii="Arial" w:hAnsi="Arial" w:cs="Arial"/>
          <w:szCs w:val="20"/>
          <w:lang w:val="es-MX" w:eastAsia="en-US"/>
        </w:rPr>
        <w:t xml:space="preserve">Solicitaremos </w:t>
      </w:r>
      <w:r w:rsidR="00DF610D">
        <w:rPr>
          <w:rFonts w:ascii="Arial" w:hAnsi="Arial" w:cs="Arial"/>
          <w:szCs w:val="20"/>
          <w:lang w:val="es-MX" w:eastAsia="en-US"/>
        </w:rPr>
        <w:t>un Convenio</w:t>
      </w:r>
      <w:r w:rsidRPr="006C77D1">
        <w:rPr>
          <w:rFonts w:ascii="Arial" w:hAnsi="Arial" w:cs="Arial"/>
          <w:szCs w:val="20"/>
          <w:lang w:val="es-MX" w:eastAsia="en-US"/>
        </w:rPr>
        <w:t xml:space="preserve"> de Acuerdo o Colaboración que explique las obligaciones que debe cumplir como Sitio de Investigación Externo, así como los roles y responsabilidades que tiene el Comité para salvaguardar los derechos y la seguridad de los sujetos de investigación.</w:t>
      </w:r>
    </w:p>
    <w:p w:rsidR="006B1A87" w:rsidRPr="006C77D1" w:rsidRDefault="006B1A87" w:rsidP="000C70A5">
      <w:pPr>
        <w:ind w:left="708"/>
        <w:contextualSpacing/>
        <w:jc w:val="both"/>
        <w:rPr>
          <w:rFonts w:ascii="Arial" w:hAnsi="Arial" w:cs="Arial"/>
          <w:szCs w:val="20"/>
          <w:lang w:val="es-MX" w:eastAsia="en-US"/>
        </w:rPr>
      </w:pPr>
    </w:p>
    <w:p w:rsidR="006B1A87" w:rsidRPr="006C77D1" w:rsidRDefault="006B1A87" w:rsidP="000C70A5">
      <w:pPr>
        <w:ind w:left="708"/>
        <w:contextualSpacing/>
        <w:jc w:val="both"/>
        <w:rPr>
          <w:rFonts w:ascii="Arial" w:hAnsi="Arial" w:cs="Arial"/>
          <w:szCs w:val="20"/>
          <w:lang w:val="es-MX" w:eastAsia="en-US"/>
        </w:rPr>
      </w:pPr>
      <w:r w:rsidRPr="006C77D1">
        <w:rPr>
          <w:rFonts w:ascii="Arial" w:hAnsi="Arial" w:cs="Arial"/>
          <w:szCs w:val="20"/>
          <w:lang w:val="es-MX" w:eastAsia="en-US"/>
        </w:rPr>
        <w:t>Este acuerdo será revisado por nuestra área legal para asegurar que cumpla con todos nuestros requisitos, y en caso de no cumplirse, nuestro abogado hará observaciones y las enviará a su área legal. El acuerdo no será firmado por ninguna de las partes hasta que haya sido aprobado por nuestra área legal.</w:t>
      </w:r>
    </w:p>
    <w:p w:rsidR="000C70A5" w:rsidRPr="006C77D1" w:rsidRDefault="000C70A5" w:rsidP="000C70A5">
      <w:pPr>
        <w:ind w:left="708"/>
        <w:contextualSpacing/>
        <w:jc w:val="both"/>
        <w:rPr>
          <w:rFonts w:ascii="Arial" w:hAnsi="Arial" w:cs="Arial"/>
          <w:szCs w:val="20"/>
          <w:lang w:val="es-MX" w:eastAsia="en-US"/>
        </w:rPr>
      </w:pPr>
    </w:p>
    <w:p w:rsidR="000C70A5" w:rsidRPr="006C77D1" w:rsidRDefault="000C70A5" w:rsidP="000C70A5">
      <w:pPr>
        <w:ind w:left="708"/>
        <w:contextualSpacing/>
        <w:jc w:val="both"/>
        <w:rPr>
          <w:rFonts w:ascii="Arial" w:hAnsi="Arial" w:cs="Arial"/>
          <w:szCs w:val="20"/>
          <w:lang w:val="es-MX" w:eastAsia="en-US"/>
        </w:rPr>
      </w:pPr>
      <w:r w:rsidRPr="006C77D1">
        <w:rPr>
          <w:rFonts w:ascii="Arial" w:hAnsi="Arial" w:cs="Arial"/>
          <w:szCs w:val="20"/>
          <w:lang w:val="es-MX" w:eastAsia="en-US"/>
        </w:rPr>
        <w:t>Sin este acuerdo firmado, los Comités no podrán aprobar el estudio de investigación.</w:t>
      </w:r>
    </w:p>
    <w:p w:rsidR="00E67A9D" w:rsidRPr="006C77D1" w:rsidRDefault="00E67A9D" w:rsidP="008F01F0">
      <w:pPr>
        <w:contextualSpacing/>
        <w:jc w:val="both"/>
        <w:rPr>
          <w:rFonts w:ascii="Arial" w:eastAsiaTheme="majorEastAsia" w:hAnsi="Arial" w:cs="Arial"/>
          <w:b/>
          <w:bCs/>
          <w:szCs w:val="26"/>
          <w:lang w:val="es-MX"/>
        </w:rPr>
      </w:pPr>
    </w:p>
    <w:p w:rsidR="00803517" w:rsidRPr="006C77D1" w:rsidRDefault="00803517" w:rsidP="008F01F0">
      <w:pPr>
        <w:contextualSpacing/>
        <w:jc w:val="both"/>
        <w:rPr>
          <w:rFonts w:ascii="Arial" w:hAnsi="Arial" w:cs="Arial"/>
          <w:b/>
          <w:lang w:val="es-MX"/>
        </w:rPr>
      </w:pPr>
      <w:r w:rsidRPr="006C77D1">
        <w:rPr>
          <w:rFonts w:ascii="Arial" w:hAnsi="Arial" w:cs="Arial"/>
          <w:b/>
          <w:bCs/>
          <w:lang w:val="es-MX"/>
        </w:rPr>
        <w:t>IV. RESPONSABILIDADES</w:t>
      </w:r>
    </w:p>
    <w:p w:rsidR="001B213D" w:rsidRPr="006C77D1" w:rsidRDefault="001B213D" w:rsidP="008F01F0">
      <w:pPr>
        <w:contextualSpacing/>
        <w:jc w:val="both"/>
        <w:rPr>
          <w:rFonts w:ascii="Arial" w:hAnsi="Arial" w:cs="Arial"/>
          <w:b/>
          <w:lang w:val="es-MX"/>
        </w:rPr>
      </w:pPr>
    </w:p>
    <w:p w:rsidR="0084626A" w:rsidRPr="006C77D1" w:rsidRDefault="0084626A" w:rsidP="008F01F0">
      <w:pPr>
        <w:pStyle w:val="level1bodystyle"/>
        <w:contextualSpacing/>
        <w:jc w:val="both"/>
        <w:rPr>
          <w:lang w:val="es-MX"/>
        </w:rPr>
      </w:pPr>
      <w:r w:rsidRPr="006C77D1">
        <w:rPr>
          <w:snapToGrid w:val="0"/>
          <w:lang w:val="es-MX"/>
        </w:rPr>
        <w:t xml:space="preserve">El presidente del </w:t>
      </w:r>
      <w:r w:rsidR="006C77D1">
        <w:rPr>
          <w:snapToGrid w:val="0"/>
          <w:lang w:val="es-MX"/>
        </w:rPr>
        <w:t>CEI</w:t>
      </w:r>
      <w:r w:rsidRPr="006C77D1">
        <w:rPr>
          <w:snapToGrid w:val="0"/>
          <w:lang w:val="es-MX"/>
        </w:rPr>
        <w:t xml:space="preserve"> es responsable de mantener actualizados los requisitos para la presentación de investigaciones para los investigadores interesados.</w:t>
      </w:r>
    </w:p>
    <w:p w:rsidR="0084626A" w:rsidRPr="006C77D1" w:rsidRDefault="0084626A" w:rsidP="008F01F0">
      <w:pPr>
        <w:pStyle w:val="level1bodystyle"/>
        <w:contextualSpacing/>
        <w:jc w:val="both"/>
        <w:rPr>
          <w:lang w:val="es-MX"/>
        </w:rPr>
      </w:pPr>
      <w:r w:rsidRPr="006C77D1">
        <w:rPr>
          <w:snapToGrid w:val="0"/>
          <w:lang w:val="es-MX"/>
        </w:rPr>
        <w:lastRenderedPageBreak/>
        <w:t xml:space="preserve">El presidente del </w:t>
      </w:r>
      <w:r w:rsidR="006C77D1">
        <w:rPr>
          <w:snapToGrid w:val="0"/>
          <w:lang w:val="es-MX"/>
        </w:rPr>
        <w:t>CEI</w:t>
      </w:r>
      <w:r w:rsidRPr="006C77D1">
        <w:rPr>
          <w:snapToGrid w:val="0"/>
          <w:lang w:val="es-MX"/>
        </w:rPr>
        <w:t xml:space="preserve"> es responsable de preparar materiales para revisión por parte de los miembros y revisar los elementos </w:t>
      </w:r>
      <w:r w:rsidR="00DF610D">
        <w:rPr>
          <w:snapToGrid w:val="0"/>
          <w:lang w:val="es-MX"/>
        </w:rPr>
        <w:t>del sometimiento</w:t>
      </w:r>
      <w:r w:rsidRPr="006C77D1">
        <w:rPr>
          <w:snapToGrid w:val="0"/>
          <w:lang w:val="es-MX"/>
        </w:rPr>
        <w:t>.</w:t>
      </w:r>
    </w:p>
    <w:p w:rsidR="0084626A" w:rsidRPr="006C77D1" w:rsidRDefault="0084626A" w:rsidP="008F01F0">
      <w:pPr>
        <w:pStyle w:val="level1bodystyle"/>
        <w:contextualSpacing/>
        <w:jc w:val="both"/>
        <w:rPr>
          <w:lang w:val="es-MX"/>
        </w:rPr>
      </w:pPr>
      <w:r w:rsidRPr="006C77D1">
        <w:rPr>
          <w:snapToGrid w:val="0"/>
          <w:lang w:val="es-MX"/>
        </w:rPr>
        <w:t xml:space="preserve">El asistente administrativo de </w:t>
      </w:r>
      <w:r w:rsidR="006C77D1">
        <w:rPr>
          <w:snapToGrid w:val="0"/>
          <w:lang w:val="es-MX"/>
        </w:rPr>
        <w:t>CEI</w:t>
      </w:r>
      <w:r w:rsidRPr="006C77D1">
        <w:rPr>
          <w:snapToGrid w:val="0"/>
          <w:lang w:val="es-MX"/>
        </w:rPr>
        <w:t xml:space="preserve"> es responsable de recibir, rastrear y </w:t>
      </w:r>
      <w:r w:rsidR="00DF610D">
        <w:rPr>
          <w:snapToGrid w:val="0"/>
          <w:lang w:val="es-MX"/>
        </w:rPr>
        <w:t>revisar la documentación</w:t>
      </w:r>
      <w:r w:rsidRPr="006C77D1">
        <w:rPr>
          <w:snapToGrid w:val="0"/>
          <w:lang w:val="es-MX"/>
        </w:rPr>
        <w:t>.</w:t>
      </w:r>
      <w:r w:rsidRPr="006C77D1">
        <w:rPr>
          <w:lang w:val="es-MX"/>
        </w:rPr>
        <w:t xml:space="preserve"> </w:t>
      </w:r>
    </w:p>
    <w:p w:rsidR="006B1A87" w:rsidRPr="006C77D1" w:rsidRDefault="006B1A87" w:rsidP="008F01F0">
      <w:pPr>
        <w:pStyle w:val="level1bodystyle"/>
        <w:contextualSpacing/>
        <w:jc w:val="both"/>
        <w:rPr>
          <w:lang w:val="es-MX"/>
        </w:rPr>
      </w:pPr>
      <w:r w:rsidRPr="006C77D1">
        <w:rPr>
          <w:lang w:val="es-MX"/>
        </w:rPr>
        <w:t>La Coordinación de Control de Calidad es responsable de mantener una comunicación constante con el encargado de la investigación del sitio externo, también son responsables de realizar las auditorías y la verificación de las instalaciones con las que cuenta el sitio.</w:t>
      </w:r>
    </w:p>
    <w:p w:rsidR="008A1BE2" w:rsidRPr="006C77D1" w:rsidRDefault="008A1BE2" w:rsidP="008F01F0">
      <w:pPr>
        <w:contextualSpacing/>
        <w:jc w:val="both"/>
        <w:rPr>
          <w:rFonts w:ascii="Arial" w:hAnsi="Arial" w:cs="Arial"/>
          <w:b/>
          <w:lang w:val="es-MX"/>
        </w:rPr>
      </w:pPr>
    </w:p>
    <w:p w:rsidR="001B213D" w:rsidRPr="006C77D1" w:rsidRDefault="001B213D" w:rsidP="008F01F0">
      <w:pPr>
        <w:contextualSpacing/>
        <w:jc w:val="both"/>
        <w:rPr>
          <w:rFonts w:ascii="Arial" w:hAnsi="Arial" w:cs="Arial"/>
          <w:b/>
          <w:lang w:val="es-MX"/>
        </w:rPr>
      </w:pPr>
      <w:r w:rsidRPr="006C77D1">
        <w:rPr>
          <w:rFonts w:ascii="Arial" w:hAnsi="Arial" w:cs="Arial"/>
          <w:b/>
          <w:bCs/>
          <w:lang w:val="es-MX"/>
        </w:rPr>
        <w:t>V. ALCANCE</w:t>
      </w:r>
    </w:p>
    <w:p w:rsidR="00CC79A3" w:rsidRPr="006C77D1" w:rsidRDefault="00CC79A3" w:rsidP="008F01F0">
      <w:pPr>
        <w:contextualSpacing/>
        <w:jc w:val="both"/>
        <w:rPr>
          <w:rFonts w:ascii="Arial" w:hAnsi="Arial" w:cs="Arial"/>
          <w:b/>
          <w:lang w:val="es-MX"/>
        </w:rPr>
      </w:pPr>
    </w:p>
    <w:p w:rsidR="005247C2" w:rsidRPr="006C77D1" w:rsidRDefault="005247C2" w:rsidP="008F01F0">
      <w:pPr>
        <w:pStyle w:val="level1bodystyle"/>
        <w:contextualSpacing/>
        <w:jc w:val="both"/>
        <w:rPr>
          <w:lang w:val="es-MX"/>
        </w:rPr>
      </w:pPr>
      <w:r w:rsidRPr="006C77D1">
        <w:rPr>
          <w:lang w:val="es-MX"/>
        </w:rPr>
        <w:t xml:space="preserve">Estas políticas y procedimientos se aplican a cada miembro del </w:t>
      </w:r>
      <w:r w:rsidR="006C77D1">
        <w:rPr>
          <w:lang w:val="es-MX"/>
        </w:rPr>
        <w:t>CEI</w:t>
      </w:r>
      <w:r w:rsidRPr="006C77D1">
        <w:rPr>
          <w:lang w:val="es-MX"/>
        </w:rPr>
        <w:t>.</w:t>
      </w:r>
    </w:p>
    <w:p w:rsidR="008A07E7" w:rsidRPr="006C77D1" w:rsidRDefault="008A07E7" w:rsidP="008F01F0">
      <w:pPr>
        <w:contextualSpacing/>
        <w:jc w:val="both"/>
        <w:rPr>
          <w:rFonts w:ascii="Arial" w:hAnsi="Arial" w:cs="Arial"/>
          <w:b/>
          <w:lang w:val="es-MX"/>
        </w:rPr>
      </w:pPr>
    </w:p>
    <w:p w:rsidR="00803517" w:rsidRPr="006C77D1" w:rsidRDefault="00803517" w:rsidP="008F01F0">
      <w:pPr>
        <w:contextualSpacing/>
        <w:jc w:val="both"/>
        <w:rPr>
          <w:rFonts w:ascii="Arial" w:hAnsi="Arial" w:cs="Arial"/>
          <w:b/>
          <w:lang w:val="es-MX"/>
        </w:rPr>
      </w:pPr>
      <w:r w:rsidRPr="006C77D1">
        <w:rPr>
          <w:rFonts w:ascii="Arial" w:hAnsi="Arial" w:cs="Arial"/>
          <w:b/>
          <w:bCs/>
          <w:lang w:val="es-MX"/>
        </w:rPr>
        <w:t>VI. PROCEDIMIENTO</w:t>
      </w:r>
    </w:p>
    <w:p w:rsidR="007A41ED" w:rsidRPr="006C77D1" w:rsidRDefault="007A41ED" w:rsidP="008F01F0">
      <w:pPr>
        <w:autoSpaceDE w:val="0"/>
        <w:autoSpaceDN w:val="0"/>
        <w:adjustRightInd w:val="0"/>
        <w:contextualSpacing/>
        <w:jc w:val="both"/>
        <w:rPr>
          <w:rFonts w:ascii="Arial" w:hAnsi="Arial" w:cs="Arial"/>
          <w:lang w:val="es-MX"/>
        </w:rPr>
      </w:pPr>
    </w:p>
    <w:p w:rsidR="0084626A" w:rsidRPr="006C77D1" w:rsidRDefault="0084626A" w:rsidP="008F01F0">
      <w:pPr>
        <w:ind w:left="288"/>
        <w:contextualSpacing/>
        <w:jc w:val="both"/>
        <w:rPr>
          <w:rFonts w:ascii="Arial" w:hAnsi="Arial" w:cs="Arial"/>
          <w:lang w:val="es-MX"/>
        </w:rPr>
      </w:pPr>
      <w:r w:rsidRPr="006C77D1">
        <w:rPr>
          <w:rFonts w:ascii="Arial" w:hAnsi="Arial" w:cs="Arial"/>
          <w:lang w:val="es-MX"/>
        </w:rPr>
        <w:t xml:space="preserve">Resalte los documentos requeridos y la información de apoyo esencial de los investigadores para su evaluación por parte del </w:t>
      </w:r>
      <w:r w:rsidR="006C77D1">
        <w:rPr>
          <w:rFonts w:ascii="Arial" w:hAnsi="Arial" w:cs="Arial"/>
          <w:lang w:val="es-MX"/>
        </w:rPr>
        <w:t>CEI</w:t>
      </w:r>
      <w:r w:rsidRPr="006C77D1">
        <w:rPr>
          <w:rFonts w:ascii="Arial" w:hAnsi="Arial" w:cs="Arial"/>
          <w:lang w:val="es-MX"/>
        </w:rPr>
        <w:t>.</w:t>
      </w:r>
    </w:p>
    <w:p w:rsidR="00B57FCC" w:rsidRPr="006C77D1" w:rsidRDefault="00B57FCC" w:rsidP="008F01F0">
      <w:pPr>
        <w:ind w:left="288"/>
        <w:contextualSpacing/>
        <w:jc w:val="both"/>
        <w:rPr>
          <w:rFonts w:ascii="Arial" w:hAnsi="Arial" w:cs="Arial"/>
          <w:lang w:val="es-MX"/>
        </w:rPr>
      </w:pPr>
    </w:p>
    <w:p w:rsidR="00B57FCC" w:rsidRPr="006C77D1" w:rsidRDefault="00B57FCC" w:rsidP="008F01F0">
      <w:pPr>
        <w:ind w:left="288"/>
        <w:contextualSpacing/>
        <w:jc w:val="both"/>
        <w:rPr>
          <w:rFonts w:ascii="Arial" w:hAnsi="Arial" w:cs="Arial"/>
          <w:lang w:val="es-MX"/>
        </w:rPr>
      </w:pPr>
    </w:p>
    <w:p w:rsidR="00B50A97" w:rsidRPr="006C77D1" w:rsidRDefault="00B50A97" w:rsidP="008F01F0">
      <w:pPr>
        <w:autoSpaceDE w:val="0"/>
        <w:autoSpaceDN w:val="0"/>
        <w:adjustRightInd w:val="0"/>
        <w:contextualSpacing/>
        <w:jc w:val="both"/>
        <w:rPr>
          <w:rFonts w:ascii="Arial" w:eastAsiaTheme="minorHAnsi" w:hAnsi="Arial" w:cs="Arial"/>
          <w:szCs w:val="19"/>
          <w:lang w:val="es-MX"/>
        </w:rPr>
      </w:pPr>
    </w:p>
    <w:tbl>
      <w:tblPr>
        <w:tblW w:w="8505" w:type="dxa"/>
        <w:tblInd w:w="108" w:type="dxa"/>
        <w:tblLayout w:type="fixed"/>
        <w:tblLook w:val="0000" w:firstRow="0" w:lastRow="0" w:firstColumn="0" w:lastColumn="0" w:noHBand="0" w:noVBand="0"/>
      </w:tblPr>
      <w:tblGrid>
        <w:gridCol w:w="2250"/>
        <w:gridCol w:w="3420"/>
        <w:gridCol w:w="2835"/>
      </w:tblGrid>
      <w:tr w:rsidR="009D278D" w:rsidRPr="009D278D" w:rsidTr="0035018D">
        <w:trPr>
          <w:cantSplit/>
        </w:trPr>
        <w:tc>
          <w:tcPr>
            <w:tcW w:w="2250" w:type="dxa"/>
            <w:tcBorders>
              <w:top w:val="single" w:sz="6" w:space="0" w:color="FFFFFF"/>
              <w:left w:val="single" w:sz="36" w:space="0" w:color="FFFFFF"/>
              <w:bottom w:val="single" w:sz="36" w:space="0" w:color="FFFFFF"/>
              <w:right w:val="single" w:sz="6" w:space="0" w:color="FFFFFF"/>
            </w:tcBorders>
            <w:shd w:val="clear" w:color="auto" w:fill="F2F2F2" w:themeFill="background1" w:themeFillShade="F2"/>
          </w:tcPr>
          <w:p w:rsidR="0084626A" w:rsidRPr="009D278D" w:rsidRDefault="0084626A" w:rsidP="008F01F0">
            <w:pPr>
              <w:contextualSpacing/>
              <w:jc w:val="both"/>
              <w:rPr>
                <w:rFonts w:ascii="Arial" w:hAnsi="Arial" w:cs="Arial"/>
              </w:rPr>
            </w:pPr>
            <w:proofErr w:type="spellStart"/>
            <w:r w:rsidRPr="009D278D">
              <w:rPr>
                <w:rFonts w:ascii="Arial" w:hAnsi="Arial" w:cs="Arial"/>
                <w:b/>
                <w:bCs/>
                <w:lang w:val="en-US"/>
              </w:rPr>
              <w:t>Quién</w:t>
            </w:r>
            <w:proofErr w:type="spellEnd"/>
            <w:r w:rsidRPr="009D278D">
              <w:rPr>
                <w:rFonts w:ascii="Arial" w:hAnsi="Arial" w:cs="Arial"/>
                <w:lang w:val="en-US"/>
              </w:rPr>
              <w:t xml:space="preserve"> </w:t>
            </w:r>
          </w:p>
        </w:tc>
        <w:tc>
          <w:tcPr>
            <w:tcW w:w="3420" w:type="dxa"/>
            <w:tcBorders>
              <w:top w:val="single" w:sz="6" w:space="0" w:color="FFFFFF"/>
              <w:left w:val="single" w:sz="6" w:space="0" w:color="FFFFFF"/>
              <w:bottom w:val="single" w:sz="36" w:space="0" w:color="FFFFFF"/>
              <w:right w:val="single" w:sz="6" w:space="0" w:color="FFFFFF"/>
            </w:tcBorders>
            <w:shd w:val="clear" w:color="auto" w:fill="F2F2F2" w:themeFill="background1" w:themeFillShade="F2"/>
          </w:tcPr>
          <w:p w:rsidR="0084626A" w:rsidRPr="009D278D" w:rsidRDefault="0084626A" w:rsidP="008F01F0">
            <w:pPr>
              <w:contextualSpacing/>
              <w:jc w:val="both"/>
              <w:rPr>
                <w:rFonts w:ascii="Arial" w:hAnsi="Arial" w:cs="Arial"/>
              </w:rPr>
            </w:pPr>
            <w:r w:rsidRPr="009D278D">
              <w:rPr>
                <w:rFonts w:ascii="Arial" w:hAnsi="Arial" w:cs="Arial"/>
                <w:b/>
                <w:bCs/>
                <w:lang w:val="en-US"/>
              </w:rPr>
              <w:t>Tarea</w:t>
            </w:r>
          </w:p>
        </w:tc>
        <w:tc>
          <w:tcPr>
            <w:tcW w:w="2835" w:type="dxa"/>
            <w:tcBorders>
              <w:top w:val="single" w:sz="6" w:space="0" w:color="FFFFFF"/>
              <w:left w:val="single" w:sz="6" w:space="0" w:color="FFFFFF"/>
              <w:bottom w:val="single" w:sz="36" w:space="0" w:color="FFFFFF"/>
              <w:right w:val="single" w:sz="36" w:space="0" w:color="FFFFFF"/>
            </w:tcBorders>
            <w:shd w:val="clear" w:color="auto" w:fill="F2F2F2" w:themeFill="background1" w:themeFillShade="F2"/>
          </w:tcPr>
          <w:p w:rsidR="0084626A" w:rsidRPr="009D278D" w:rsidRDefault="0084626A" w:rsidP="008F01F0">
            <w:pPr>
              <w:contextualSpacing/>
              <w:jc w:val="both"/>
              <w:rPr>
                <w:rFonts w:ascii="Arial" w:hAnsi="Arial" w:cs="Arial"/>
              </w:rPr>
            </w:pPr>
            <w:r w:rsidRPr="009D278D">
              <w:rPr>
                <w:rFonts w:ascii="Arial" w:hAnsi="Arial" w:cs="Arial"/>
                <w:b/>
                <w:bCs/>
                <w:lang w:val="en-US"/>
              </w:rPr>
              <w:t>Herramienta</w:t>
            </w:r>
          </w:p>
        </w:tc>
      </w:tr>
      <w:tr w:rsidR="00DF610D" w:rsidRPr="0037476E" w:rsidTr="0035018D">
        <w:trPr>
          <w:cantSplit/>
        </w:trPr>
        <w:tc>
          <w:tcPr>
            <w:tcW w:w="2250" w:type="dxa"/>
            <w:tcBorders>
              <w:top w:val="single" w:sz="36" w:space="0" w:color="FFFFFF"/>
              <w:left w:val="single" w:sz="3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pStyle w:val="procedurestablestyle"/>
              <w:rPr>
                <w:i/>
                <w:lang w:val="es-MX"/>
              </w:rPr>
            </w:pPr>
            <w:r w:rsidRPr="00D328D0">
              <w:rPr>
                <w:i/>
                <w:lang w:val="es-MX"/>
              </w:rPr>
              <w:t>Secretaria Asistente</w:t>
            </w:r>
          </w:p>
          <w:p w:rsidR="00DF610D" w:rsidRPr="00D328D0" w:rsidRDefault="00DF610D" w:rsidP="00901510">
            <w:pPr>
              <w:pStyle w:val="procedurestablestyle"/>
              <w:rPr>
                <w:lang w:val="es-MX"/>
              </w:rPr>
            </w:pPr>
          </w:p>
        </w:tc>
        <w:tc>
          <w:tcPr>
            <w:tcW w:w="3420" w:type="dxa"/>
            <w:tcBorders>
              <w:top w:val="single" w:sz="36" w:space="0" w:color="FFFFFF"/>
              <w:left w:val="single" w:sz="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pStyle w:val="procedurestablestyle"/>
              <w:jc w:val="both"/>
              <w:rPr>
                <w:lang w:val="es-MX"/>
              </w:rPr>
            </w:pPr>
            <w:r w:rsidRPr="00D328D0">
              <w:rPr>
                <w:lang w:val="es-MX"/>
              </w:rPr>
              <w:t>Asegurar que la información completa del sometimiento esté disponible y se ha proporcionado a todos los investigadores.</w:t>
            </w:r>
          </w:p>
        </w:tc>
        <w:tc>
          <w:tcPr>
            <w:tcW w:w="2835" w:type="dxa"/>
            <w:tcBorders>
              <w:top w:val="single" w:sz="36" w:space="0" w:color="FFFFFF"/>
              <w:left w:val="single" w:sz="6" w:space="0" w:color="FFFFFF"/>
              <w:bottom w:val="single" w:sz="6" w:space="0" w:color="FFFFFF"/>
              <w:right w:val="single" w:sz="36" w:space="0" w:color="FFFFFF"/>
            </w:tcBorders>
            <w:shd w:val="clear" w:color="auto" w:fill="F2F2F2" w:themeFill="background1" w:themeFillShade="F2"/>
          </w:tcPr>
          <w:p w:rsidR="00DF610D" w:rsidRPr="00D328D0" w:rsidRDefault="00DF610D" w:rsidP="00901510">
            <w:pPr>
              <w:tabs>
                <w:tab w:val="left" w:pos="1728"/>
                <w:tab w:val="left" w:pos="10098"/>
              </w:tabs>
              <w:spacing w:before="60"/>
              <w:jc w:val="both"/>
              <w:rPr>
                <w:rFonts w:ascii="Arial" w:hAnsi="Arial" w:cs="Arial"/>
                <w:lang w:val="es-MX"/>
              </w:rPr>
            </w:pPr>
            <w:r w:rsidRPr="00D328D0">
              <w:rPr>
                <w:rFonts w:ascii="Arial" w:hAnsi="Arial" w:cs="Arial"/>
                <w:lang w:val="es-MX"/>
              </w:rPr>
              <w:t xml:space="preserve">RI 801-A Responsabilidades del Investigador  - Requisitos del </w:t>
            </w:r>
            <w:r>
              <w:rPr>
                <w:rFonts w:ascii="Arial" w:hAnsi="Arial" w:cs="Arial"/>
                <w:lang w:val="es-MX"/>
              </w:rPr>
              <w:t>CEI</w:t>
            </w:r>
            <w:r w:rsidRPr="00D328D0">
              <w:rPr>
                <w:rFonts w:ascii="Arial" w:hAnsi="Arial" w:cs="Arial"/>
                <w:lang w:val="es-MX"/>
              </w:rPr>
              <w:t xml:space="preserve"> de Ética, Investigación y Bioseguridad</w:t>
            </w:r>
          </w:p>
          <w:p w:rsidR="00DF610D" w:rsidRPr="00D328D0" w:rsidRDefault="00DF610D" w:rsidP="00901510">
            <w:pPr>
              <w:pStyle w:val="procedurestablestyle"/>
              <w:jc w:val="both"/>
              <w:rPr>
                <w:lang w:val="es-MX"/>
              </w:rPr>
            </w:pPr>
          </w:p>
          <w:p w:rsidR="00DF610D" w:rsidRPr="00D328D0" w:rsidRDefault="00DF610D" w:rsidP="00901510">
            <w:pPr>
              <w:tabs>
                <w:tab w:val="left" w:pos="1728"/>
                <w:tab w:val="left" w:pos="10098"/>
              </w:tabs>
              <w:spacing w:before="60"/>
              <w:jc w:val="both"/>
              <w:rPr>
                <w:rFonts w:ascii="Arial" w:hAnsi="Arial" w:cs="Arial"/>
                <w:lang w:val="es-MX"/>
              </w:rPr>
            </w:pPr>
            <w:r w:rsidRPr="00D328D0">
              <w:rPr>
                <w:rFonts w:ascii="Arial" w:hAnsi="Arial" w:cs="Arial"/>
                <w:lang w:val="es-MX"/>
              </w:rPr>
              <w:t xml:space="preserve">Hoja Frontal del </w:t>
            </w:r>
            <w:r>
              <w:rPr>
                <w:rFonts w:ascii="Arial" w:hAnsi="Arial" w:cs="Arial"/>
                <w:lang w:val="es-MX"/>
              </w:rPr>
              <w:t>CEI</w:t>
            </w:r>
            <w:r w:rsidRPr="00D328D0">
              <w:rPr>
                <w:rFonts w:ascii="Arial" w:hAnsi="Arial" w:cs="Arial"/>
                <w:lang w:val="es-MX"/>
              </w:rPr>
              <w:t xml:space="preserve"> de Ética, Investigación y Bioseguridad</w:t>
            </w:r>
          </w:p>
          <w:p w:rsidR="00DF610D" w:rsidRPr="00D328D0" w:rsidRDefault="00DF610D" w:rsidP="00901510">
            <w:pPr>
              <w:pStyle w:val="procedurestablestyle"/>
              <w:jc w:val="both"/>
              <w:rPr>
                <w:lang w:val="es-MX"/>
              </w:rPr>
            </w:pPr>
          </w:p>
          <w:p w:rsidR="00DF610D" w:rsidRPr="00D328D0" w:rsidRDefault="00DF610D" w:rsidP="00901510">
            <w:pPr>
              <w:pStyle w:val="procedurestablestyle"/>
              <w:rPr>
                <w:lang w:val="es-MX"/>
              </w:rPr>
            </w:pPr>
            <w:r w:rsidRPr="00D328D0">
              <w:rPr>
                <w:lang w:val="es-MX"/>
              </w:rPr>
              <w:t xml:space="preserve">Formato de delegación de responsabilidades  del Investigador Sometimiento del estudio: Sitio de </w:t>
            </w:r>
            <w:r>
              <w:rPr>
                <w:lang w:val="es-MX"/>
              </w:rPr>
              <w:t>i</w:t>
            </w:r>
            <w:r w:rsidRPr="00D328D0">
              <w:rPr>
                <w:lang w:val="es-MX"/>
              </w:rPr>
              <w:t xml:space="preserve">nvestigación adicional </w:t>
            </w:r>
          </w:p>
        </w:tc>
      </w:tr>
      <w:tr w:rsidR="00DF610D" w:rsidRPr="009D278D" w:rsidTr="0035018D">
        <w:trPr>
          <w:cantSplit/>
        </w:trPr>
        <w:tc>
          <w:tcPr>
            <w:tcW w:w="2250" w:type="dxa"/>
            <w:tcBorders>
              <w:top w:val="single" w:sz="6" w:space="0" w:color="FFFFFF"/>
              <w:left w:val="single" w:sz="3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pStyle w:val="procedurestablestyle"/>
              <w:rPr>
                <w:i/>
                <w:lang w:val="es-MX"/>
              </w:rPr>
            </w:pPr>
            <w:r w:rsidRPr="00D328D0">
              <w:rPr>
                <w:i/>
                <w:lang w:val="es-MX"/>
              </w:rPr>
              <w:lastRenderedPageBreak/>
              <w:t>Secretaria Asistente</w:t>
            </w:r>
          </w:p>
          <w:p w:rsidR="00DF610D" w:rsidRPr="00D328D0" w:rsidRDefault="00DF610D" w:rsidP="00901510">
            <w:pPr>
              <w:pStyle w:val="procedurestablestyle"/>
              <w:rPr>
                <w:lang w:val="es-MX"/>
              </w:rPr>
            </w:pPr>
          </w:p>
        </w:tc>
        <w:tc>
          <w:tcPr>
            <w:tcW w:w="342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pStyle w:val="procedurestablestyle"/>
              <w:jc w:val="both"/>
              <w:rPr>
                <w:lang w:val="es-MX"/>
              </w:rPr>
            </w:pPr>
            <w:r w:rsidRPr="00D328D0">
              <w:rPr>
                <w:lang w:val="es-MX"/>
              </w:rPr>
              <w:t xml:space="preserve">Recepción de documentos de todos los sometimientos. </w:t>
            </w:r>
          </w:p>
          <w:p w:rsidR="00DF610D" w:rsidRPr="00D328D0" w:rsidRDefault="00DF610D" w:rsidP="00901510">
            <w:pPr>
              <w:pStyle w:val="procedurestablestyle"/>
              <w:jc w:val="both"/>
              <w:rPr>
                <w:lang w:val="es-MX"/>
              </w:rPr>
            </w:pPr>
            <w:r w:rsidRPr="00D328D0">
              <w:rPr>
                <w:lang w:val="es-MX"/>
              </w:rPr>
              <w:t xml:space="preserve">Revisión del sometimiento para </w:t>
            </w:r>
            <w:r>
              <w:rPr>
                <w:lang w:val="es-MX"/>
              </w:rPr>
              <w:t xml:space="preserve">su </w:t>
            </w:r>
            <w:r w:rsidRPr="00D328D0">
              <w:rPr>
                <w:lang w:val="es-MX"/>
              </w:rPr>
              <w:t>estado completo. Observe</w:t>
            </w:r>
            <w:r>
              <w:rPr>
                <w:lang w:val="es-MX"/>
              </w:rPr>
              <w:t>. Anotar</w:t>
            </w:r>
            <w:r w:rsidRPr="00D328D0">
              <w:rPr>
                <w:lang w:val="es-MX"/>
              </w:rPr>
              <w:t xml:space="preserve"> cualquier información </w:t>
            </w:r>
            <w:r>
              <w:rPr>
                <w:lang w:val="es-MX"/>
              </w:rPr>
              <w:t>faltante</w:t>
            </w:r>
            <w:r w:rsidRPr="00D328D0">
              <w:rPr>
                <w:lang w:val="es-MX"/>
              </w:rPr>
              <w:t>.</w:t>
            </w:r>
          </w:p>
          <w:p w:rsidR="00DF610D" w:rsidRPr="00D328D0" w:rsidRDefault="00DF610D" w:rsidP="00901510">
            <w:pPr>
              <w:pStyle w:val="procedurestablestyle"/>
              <w:jc w:val="both"/>
              <w:rPr>
                <w:lang w:val="es-MX"/>
              </w:rPr>
            </w:pPr>
          </w:p>
        </w:tc>
        <w:tc>
          <w:tcPr>
            <w:tcW w:w="2835" w:type="dxa"/>
            <w:tcBorders>
              <w:top w:val="single" w:sz="6" w:space="0" w:color="FFFFFF"/>
              <w:left w:val="single" w:sz="6" w:space="0" w:color="FFFFFF"/>
              <w:bottom w:val="single" w:sz="6" w:space="0" w:color="FFFFFF"/>
              <w:right w:val="single" w:sz="36" w:space="0" w:color="FFFFFF"/>
            </w:tcBorders>
            <w:shd w:val="clear" w:color="auto" w:fill="F2F2F2" w:themeFill="background1" w:themeFillShade="F2"/>
          </w:tcPr>
          <w:p w:rsidR="00DF610D" w:rsidRPr="00D328D0" w:rsidRDefault="00DF610D" w:rsidP="00901510">
            <w:pPr>
              <w:pStyle w:val="procedurestablestyle"/>
              <w:rPr>
                <w:lang w:val="es-MX"/>
              </w:rPr>
            </w:pPr>
            <w:r w:rsidRPr="00D328D0">
              <w:rPr>
                <w:lang w:val="es-MX"/>
              </w:rPr>
              <w:t xml:space="preserve">Lista de </w:t>
            </w:r>
            <w:r>
              <w:rPr>
                <w:lang w:val="es-MX"/>
              </w:rPr>
              <w:t>Verifica</w:t>
            </w:r>
            <w:r w:rsidRPr="00D328D0">
              <w:rPr>
                <w:lang w:val="es-MX"/>
              </w:rPr>
              <w:t>ción de Sometimiento (Personal)</w:t>
            </w:r>
          </w:p>
        </w:tc>
      </w:tr>
      <w:tr w:rsidR="00DF610D" w:rsidRPr="009D278D" w:rsidTr="0035018D">
        <w:trPr>
          <w:cantSplit/>
        </w:trPr>
        <w:tc>
          <w:tcPr>
            <w:tcW w:w="2250" w:type="dxa"/>
            <w:tcBorders>
              <w:top w:val="single" w:sz="6" w:space="0" w:color="FFFFFF"/>
              <w:left w:val="single" w:sz="3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pStyle w:val="procedurestablestyle"/>
              <w:jc w:val="both"/>
              <w:rPr>
                <w:i/>
                <w:lang w:val="es-ES"/>
              </w:rPr>
            </w:pPr>
            <w:r w:rsidRPr="00D328D0">
              <w:rPr>
                <w:i/>
                <w:lang w:val="es-ES"/>
              </w:rPr>
              <w:t xml:space="preserve">Presidente del </w:t>
            </w:r>
            <w:r>
              <w:rPr>
                <w:i/>
                <w:lang w:val="es-ES"/>
              </w:rPr>
              <w:t>CEI</w:t>
            </w:r>
            <w:r w:rsidRPr="00D328D0">
              <w:rPr>
                <w:i/>
                <w:lang w:val="es-ES"/>
              </w:rPr>
              <w:t xml:space="preserve"> </w:t>
            </w:r>
          </w:p>
          <w:p w:rsidR="00DF610D" w:rsidRPr="008D6F8D" w:rsidRDefault="00DF610D" w:rsidP="00901510">
            <w:pPr>
              <w:pStyle w:val="procedurestablestyle"/>
              <w:rPr>
                <w:i/>
                <w:lang w:val="es-MX"/>
              </w:rPr>
            </w:pPr>
            <w:r w:rsidRPr="00D328D0">
              <w:rPr>
                <w:i/>
                <w:lang w:val="es-MX"/>
              </w:rPr>
              <w:t>Secretaria Asistente</w:t>
            </w:r>
          </w:p>
        </w:tc>
        <w:tc>
          <w:tcPr>
            <w:tcW w:w="342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tabs>
                <w:tab w:val="left" w:pos="1728"/>
                <w:tab w:val="left" w:pos="10098"/>
              </w:tabs>
              <w:spacing w:before="60"/>
              <w:jc w:val="both"/>
              <w:rPr>
                <w:rFonts w:ascii="Arial" w:hAnsi="Arial" w:cs="Arial"/>
                <w:lang w:val="es-MX"/>
              </w:rPr>
            </w:pPr>
            <w:r w:rsidRPr="00D328D0">
              <w:rPr>
                <w:rFonts w:ascii="Arial" w:hAnsi="Arial" w:cs="Arial"/>
                <w:lang w:val="es-MX"/>
              </w:rPr>
              <w:t>Revis</w:t>
            </w:r>
            <w:r>
              <w:rPr>
                <w:rFonts w:ascii="Arial" w:hAnsi="Arial" w:cs="Arial"/>
                <w:lang w:val="es-MX"/>
              </w:rPr>
              <w:t>ión de</w:t>
            </w:r>
            <w:r w:rsidRPr="00D328D0">
              <w:rPr>
                <w:rFonts w:ascii="Arial" w:hAnsi="Arial" w:cs="Arial"/>
                <w:lang w:val="es-MX"/>
              </w:rPr>
              <w:t xml:space="preserve"> los sometimientos</w:t>
            </w:r>
            <w:r>
              <w:rPr>
                <w:rFonts w:ascii="Arial" w:hAnsi="Arial" w:cs="Arial"/>
                <w:lang w:val="es-MX"/>
              </w:rPr>
              <w:t xml:space="preserve"> y asignación </w:t>
            </w:r>
            <w:r w:rsidRPr="00D328D0">
              <w:rPr>
                <w:rFonts w:ascii="Arial" w:hAnsi="Arial" w:cs="Arial"/>
                <w:lang w:val="es-MX"/>
              </w:rPr>
              <w:t>a</w:t>
            </w:r>
            <w:r>
              <w:rPr>
                <w:rFonts w:ascii="Arial" w:hAnsi="Arial" w:cs="Arial"/>
                <w:lang w:val="es-MX"/>
              </w:rPr>
              <w:t>l</w:t>
            </w:r>
            <w:r w:rsidRPr="00D328D0">
              <w:rPr>
                <w:rFonts w:ascii="Arial" w:hAnsi="Arial" w:cs="Arial"/>
                <w:lang w:val="es-MX"/>
              </w:rPr>
              <w:t xml:space="preserve"> </w:t>
            </w:r>
            <w:r>
              <w:rPr>
                <w:rFonts w:ascii="Arial" w:hAnsi="Arial" w:cs="Arial"/>
                <w:lang w:val="es-MX"/>
              </w:rPr>
              <w:t xml:space="preserve">CEI </w:t>
            </w:r>
            <w:r w:rsidRPr="00D328D0">
              <w:rPr>
                <w:rFonts w:ascii="Arial" w:hAnsi="Arial" w:cs="Arial"/>
                <w:lang w:val="es-MX"/>
              </w:rPr>
              <w:t xml:space="preserve">y </w:t>
            </w:r>
            <w:r>
              <w:rPr>
                <w:rFonts w:ascii="Arial" w:hAnsi="Arial" w:cs="Arial"/>
                <w:lang w:val="es-MX"/>
              </w:rPr>
              <w:t>dirigirlos a l</w:t>
            </w:r>
            <w:r w:rsidRPr="00D328D0">
              <w:rPr>
                <w:rFonts w:ascii="Arial" w:hAnsi="Arial" w:cs="Arial"/>
                <w:lang w:val="es-MX"/>
              </w:rPr>
              <w:t xml:space="preserve">os administradores apropiados del </w:t>
            </w:r>
            <w:r>
              <w:rPr>
                <w:rFonts w:ascii="Arial" w:hAnsi="Arial" w:cs="Arial"/>
                <w:lang w:val="es-MX"/>
              </w:rPr>
              <w:t>CEI</w:t>
            </w:r>
            <w:r w:rsidRPr="00D328D0">
              <w:rPr>
                <w:rFonts w:ascii="Arial" w:hAnsi="Arial" w:cs="Arial"/>
                <w:lang w:val="es-MX"/>
              </w:rPr>
              <w:t xml:space="preserve"> de Ética, Investigación y Bioseguridad</w:t>
            </w:r>
          </w:p>
          <w:p w:rsidR="00DF610D" w:rsidRPr="00D328D0" w:rsidRDefault="00DF610D" w:rsidP="00901510">
            <w:pPr>
              <w:pStyle w:val="procedurestablestyle"/>
              <w:jc w:val="both"/>
              <w:rPr>
                <w:lang w:val="es-MX"/>
              </w:rPr>
            </w:pPr>
          </w:p>
          <w:p w:rsidR="00DF610D" w:rsidRPr="00D328D0" w:rsidRDefault="00DF610D" w:rsidP="00901510">
            <w:pPr>
              <w:pStyle w:val="procedurestablestyle"/>
              <w:jc w:val="both"/>
              <w:rPr>
                <w:lang w:val="es-MX"/>
              </w:rPr>
            </w:pPr>
          </w:p>
        </w:tc>
        <w:tc>
          <w:tcPr>
            <w:tcW w:w="2835" w:type="dxa"/>
            <w:tcBorders>
              <w:top w:val="single" w:sz="6" w:space="0" w:color="FFFFFF"/>
              <w:left w:val="single" w:sz="6" w:space="0" w:color="FFFFFF"/>
              <w:bottom w:val="single" w:sz="6" w:space="0" w:color="FFFFFF"/>
              <w:right w:val="single" w:sz="36" w:space="0" w:color="FFFFFF"/>
            </w:tcBorders>
            <w:shd w:val="clear" w:color="auto" w:fill="F2F2F2" w:themeFill="background1" w:themeFillShade="F2"/>
          </w:tcPr>
          <w:p w:rsidR="00DF610D" w:rsidRPr="00D328D0" w:rsidRDefault="00DF610D" w:rsidP="00901510">
            <w:pPr>
              <w:pStyle w:val="procedurestablestyle"/>
              <w:rPr>
                <w:lang w:val="es-MX"/>
              </w:rPr>
            </w:pPr>
            <w:r w:rsidRPr="00D328D0">
              <w:rPr>
                <w:lang w:val="es-MX"/>
              </w:rPr>
              <w:t xml:space="preserve">Lista de </w:t>
            </w:r>
            <w:r>
              <w:rPr>
                <w:lang w:val="es-MX"/>
              </w:rPr>
              <w:t>Verifica</w:t>
            </w:r>
            <w:r w:rsidRPr="00D328D0">
              <w:rPr>
                <w:lang w:val="es-MX"/>
              </w:rPr>
              <w:t>ción de Sometimiento (Personal)</w:t>
            </w:r>
          </w:p>
        </w:tc>
      </w:tr>
      <w:tr w:rsidR="009D278D" w:rsidRPr="0037476E" w:rsidTr="0035018D">
        <w:trPr>
          <w:cantSplit/>
          <w:trHeight w:val="200"/>
        </w:trPr>
        <w:tc>
          <w:tcPr>
            <w:tcW w:w="2250" w:type="dxa"/>
            <w:tcBorders>
              <w:top w:val="single" w:sz="6" w:space="0" w:color="FFFFFF"/>
              <w:left w:val="single" w:sz="36" w:space="0" w:color="FFFFFF"/>
              <w:bottom w:val="single" w:sz="6" w:space="0" w:color="FFFFFF"/>
              <w:right w:val="single" w:sz="6" w:space="0" w:color="FFFFFF"/>
            </w:tcBorders>
            <w:shd w:val="clear" w:color="auto" w:fill="F2F2F2" w:themeFill="background1" w:themeFillShade="F2"/>
          </w:tcPr>
          <w:p w:rsidR="0084626A" w:rsidRPr="009D278D" w:rsidRDefault="00662AB2" w:rsidP="008F01F0">
            <w:pPr>
              <w:pStyle w:val="procedurestablestyle"/>
              <w:contextualSpacing/>
              <w:jc w:val="both"/>
            </w:pPr>
            <w:r w:rsidRPr="009D278D">
              <w:rPr>
                <w:bCs w:val="0"/>
                <w:i/>
                <w:iCs/>
              </w:rPr>
              <w:t>presidente del CEI</w:t>
            </w:r>
          </w:p>
        </w:tc>
        <w:tc>
          <w:tcPr>
            <w:tcW w:w="342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rsidR="00DF610D" w:rsidRPr="00D328D0" w:rsidRDefault="00DF610D" w:rsidP="00DF610D">
            <w:pPr>
              <w:pStyle w:val="procedurestablestyle"/>
              <w:jc w:val="both"/>
              <w:rPr>
                <w:lang w:val="es-MX"/>
              </w:rPr>
            </w:pPr>
            <w:r w:rsidRPr="00D328D0">
              <w:rPr>
                <w:lang w:val="es-MX"/>
              </w:rPr>
              <w:t>Eval</w:t>
            </w:r>
            <w:r>
              <w:rPr>
                <w:lang w:val="es-MX"/>
              </w:rPr>
              <w:t>uar</w:t>
            </w:r>
            <w:r w:rsidRPr="00D328D0">
              <w:rPr>
                <w:lang w:val="es-MX"/>
              </w:rPr>
              <w:t xml:space="preserve"> las </w:t>
            </w:r>
            <w:r>
              <w:rPr>
                <w:lang w:val="es-MX"/>
              </w:rPr>
              <w:t>solicitudes</w:t>
            </w:r>
            <w:r w:rsidRPr="00D328D0">
              <w:rPr>
                <w:lang w:val="es-MX"/>
              </w:rPr>
              <w:t xml:space="preserve"> para la exención de revisión</w:t>
            </w:r>
            <w:r>
              <w:rPr>
                <w:lang w:val="es-MX"/>
              </w:rPr>
              <w:t>,</w:t>
            </w:r>
            <w:r w:rsidRPr="00D328D0">
              <w:rPr>
                <w:lang w:val="es-MX"/>
              </w:rPr>
              <w:t xml:space="preserve"> con ayuda del SOP FO 302.  De</w:t>
            </w:r>
            <w:r>
              <w:rPr>
                <w:lang w:val="es-MX"/>
              </w:rPr>
              <w:t>finir</w:t>
            </w:r>
            <w:r w:rsidRPr="00D328D0">
              <w:rPr>
                <w:lang w:val="es-MX"/>
              </w:rPr>
              <w:t xml:space="preserve"> la acción</w:t>
            </w:r>
            <w:r>
              <w:rPr>
                <w:lang w:val="es-MX"/>
              </w:rPr>
              <w:t xml:space="preserve"> a tomar </w:t>
            </w:r>
            <w:r w:rsidRPr="00D328D0">
              <w:rPr>
                <w:lang w:val="es-MX"/>
              </w:rPr>
              <w:t xml:space="preserve">y </w:t>
            </w:r>
            <w:r>
              <w:rPr>
                <w:lang w:val="es-MX"/>
              </w:rPr>
              <w:t>enviarla</w:t>
            </w:r>
            <w:r w:rsidRPr="00D328D0">
              <w:rPr>
                <w:lang w:val="es-MX"/>
              </w:rPr>
              <w:t xml:space="preserve"> al Presidente del </w:t>
            </w:r>
            <w:r>
              <w:rPr>
                <w:lang w:val="es-MX"/>
              </w:rPr>
              <w:t>CEI</w:t>
            </w:r>
            <w:r w:rsidRPr="00D328D0">
              <w:rPr>
                <w:lang w:val="es-MX"/>
              </w:rPr>
              <w:t xml:space="preserve"> para su seguimiento.  </w:t>
            </w:r>
          </w:p>
          <w:p w:rsidR="00DF610D" w:rsidRPr="00D328D0" w:rsidRDefault="00DF610D" w:rsidP="00DF610D">
            <w:pPr>
              <w:pStyle w:val="procedurestablestyle"/>
              <w:jc w:val="both"/>
              <w:rPr>
                <w:lang w:val="es-MX"/>
              </w:rPr>
            </w:pPr>
            <w:r w:rsidRPr="00D328D0">
              <w:rPr>
                <w:lang w:val="es-MX"/>
              </w:rPr>
              <w:t>Eval</w:t>
            </w:r>
            <w:r>
              <w:rPr>
                <w:lang w:val="es-MX"/>
              </w:rPr>
              <w:t>uar</w:t>
            </w:r>
            <w:r w:rsidRPr="00D328D0">
              <w:rPr>
                <w:lang w:val="es-MX"/>
              </w:rPr>
              <w:t xml:space="preserve"> </w:t>
            </w:r>
            <w:r>
              <w:rPr>
                <w:lang w:val="es-MX"/>
              </w:rPr>
              <w:t xml:space="preserve">que </w:t>
            </w:r>
            <w:r w:rsidRPr="00D328D0">
              <w:rPr>
                <w:lang w:val="es-MX"/>
              </w:rPr>
              <w:t>el sometimiento</w:t>
            </w:r>
            <w:r>
              <w:rPr>
                <w:lang w:val="es-MX"/>
              </w:rPr>
              <w:t xml:space="preserve"> </w:t>
            </w:r>
            <w:r w:rsidRPr="00D328D0">
              <w:rPr>
                <w:lang w:val="es-MX"/>
              </w:rPr>
              <w:t xml:space="preserve">se ajuste a los requisitos para la revisión expedita por </w:t>
            </w:r>
            <w:r>
              <w:rPr>
                <w:lang w:val="es-MX"/>
              </w:rPr>
              <w:t xml:space="preserve">el </w:t>
            </w:r>
            <w:r w:rsidRPr="00D328D0">
              <w:rPr>
                <w:lang w:val="es-MX"/>
              </w:rPr>
              <w:t>SOP RR 401.</w:t>
            </w:r>
          </w:p>
          <w:p w:rsidR="00DF610D" w:rsidRPr="00D328D0" w:rsidRDefault="00DF610D" w:rsidP="00DF610D">
            <w:pPr>
              <w:pStyle w:val="procedurestablestyle"/>
              <w:jc w:val="both"/>
              <w:rPr>
                <w:lang w:val="es-MX"/>
              </w:rPr>
            </w:pPr>
            <w:r w:rsidRPr="00D328D0">
              <w:rPr>
                <w:lang w:val="es-MX"/>
              </w:rPr>
              <w:t>Revis</w:t>
            </w:r>
            <w:r>
              <w:rPr>
                <w:lang w:val="es-MX"/>
              </w:rPr>
              <w:t>ar</w:t>
            </w:r>
            <w:r w:rsidRPr="00D328D0">
              <w:rPr>
                <w:lang w:val="es-MX"/>
              </w:rPr>
              <w:t xml:space="preserve"> </w:t>
            </w:r>
            <w:r>
              <w:rPr>
                <w:lang w:val="es-MX"/>
              </w:rPr>
              <w:t>el procedimiento a</w:t>
            </w:r>
            <w:r w:rsidRPr="00D328D0">
              <w:rPr>
                <w:lang w:val="es-MX"/>
              </w:rPr>
              <w:t>propiad</w:t>
            </w:r>
            <w:r>
              <w:rPr>
                <w:lang w:val="es-MX"/>
              </w:rPr>
              <w:t>o para</w:t>
            </w:r>
            <w:r w:rsidRPr="00D328D0">
              <w:rPr>
                <w:lang w:val="es-MX"/>
              </w:rPr>
              <w:t xml:space="preserve"> estudios de riesgo elevado.</w:t>
            </w:r>
          </w:p>
          <w:p w:rsidR="0084626A" w:rsidRPr="006C77D1" w:rsidRDefault="00DF610D" w:rsidP="00DF610D">
            <w:pPr>
              <w:pStyle w:val="procedurestablestyle"/>
              <w:contextualSpacing/>
              <w:jc w:val="both"/>
              <w:rPr>
                <w:lang w:val="es-MX"/>
              </w:rPr>
            </w:pPr>
            <w:r>
              <w:rPr>
                <w:lang w:val="es-MX"/>
              </w:rPr>
              <w:t>Revisar</w:t>
            </w:r>
            <w:r w:rsidRPr="00D328D0">
              <w:rPr>
                <w:lang w:val="es-MX"/>
              </w:rPr>
              <w:t xml:space="preserve"> los estudios que i</w:t>
            </w:r>
            <w:r>
              <w:rPr>
                <w:lang w:val="es-MX"/>
              </w:rPr>
              <w:t>nvolucran</w:t>
            </w:r>
            <w:r w:rsidRPr="00D328D0">
              <w:rPr>
                <w:lang w:val="es-MX"/>
              </w:rPr>
              <w:t xml:space="preserve"> niños</w:t>
            </w:r>
            <w:r>
              <w:rPr>
                <w:lang w:val="es-MX"/>
              </w:rPr>
              <w:t>,</w:t>
            </w:r>
            <w:r w:rsidRPr="00D328D0">
              <w:rPr>
                <w:lang w:val="es-MX"/>
              </w:rPr>
              <w:t xml:space="preserve"> así como </w:t>
            </w:r>
            <w:r>
              <w:rPr>
                <w:lang w:val="es-MX"/>
              </w:rPr>
              <w:t>los procedimientos</w:t>
            </w:r>
            <w:r w:rsidRPr="00D328D0">
              <w:rPr>
                <w:lang w:val="es-MX"/>
              </w:rPr>
              <w:t xml:space="preserve"> apropiad</w:t>
            </w:r>
            <w:r>
              <w:rPr>
                <w:lang w:val="es-MX"/>
              </w:rPr>
              <w:t>os</w:t>
            </w:r>
            <w:r w:rsidRPr="00D328D0">
              <w:rPr>
                <w:lang w:val="es-MX"/>
              </w:rPr>
              <w:t>.</w:t>
            </w:r>
          </w:p>
        </w:tc>
        <w:tc>
          <w:tcPr>
            <w:tcW w:w="2835" w:type="dxa"/>
            <w:tcBorders>
              <w:top w:val="single" w:sz="6" w:space="0" w:color="FFFFFF"/>
              <w:left w:val="single" w:sz="6" w:space="0" w:color="FFFFFF"/>
              <w:bottom w:val="single" w:sz="6" w:space="0" w:color="FFFFFF"/>
              <w:right w:val="single" w:sz="36" w:space="0" w:color="FFFFFF"/>
            </w:tcBorders>
            <w:shd w:val="clear" w:color="auto" w:fill="F2F2F2" w:themeFill="background1" w:themeFillShade="F2"/>
          </w:tcPr>
          <w:p w:rsidR="00DF610D" w:rsidRPr="007629C4" w:rsidRDefault="00DF610D" w:rsidP="00DF610D">
            <w:pPr>
              <w:pStyle w:val="procedurestablestyle"/>
              <w:rPr>
                <w:lang w:val="es-MX"/>
              </w:rPr>
            </w:pPr>
            <w:r>
              <w:rPr>
                <w:lang w:val="es-MX"/>
              </w:rPr>
              <w:t>Solicitud para Exen</w:t>
            </w:r>
            <w:r w:rsidRPr="007629C4">
              <w:rPr>
                <w:lang w:val="es-MX"/>
              </w:rPr>
              <w:t xml:space="preserve">ción </w:t>
            </w:r>
            <w:r>
              <w:rPr>
                <w:lang w:val="es-MX"/>
              </w:rPr>
              <w:t>de Revisión</w:t>
            </w:r>
          </w:p>
          <w:p w:rsidR="00DF610D" w:rsidRDefault="00DF610D" w:rsidP="00DF610D">
            <w:pPr>
              <w:pStyle w:val="procedurestablestyle"/>
              <w:jc w:val="both"/>
              <w:rPr>
                <w:lang w:val="es-MX"/>
              </w:rPr>
            </w:pPr>
          </w:p>
          <w:p w:rsidR="00DF610D" w:rsidRPr="007629C4" w:rsidRDefault="00DF610D" w:rsidP="00DF610D">
            <w:pPr>
              <w:pStyle w:val="procedurestablestyle"/>
              <w:jc w:val="both"/>
              <w:rPr>
                <w:lang w:val="es-MX"/>
              </w:rPr>
            </w:pPr>
            <w:r>
              <w:rPr>
                <w:lang w:val="es-MX"/>
              </w:rPr>
              <w:t>Guía de Revisión Expedita de acuerdo a la Ley General de Salud en Materia de Investigación y de la FDA.</w:t>
            </w:r>
          </w:p>
          <w:p w:rsidR="0084626A" w:rsidRPr="006C77D1" w:rsidRDefault="0084626A" w:rsidP="008F01F0">
            <w:pPr>
              <w:pStyle w:val="procedurestablestyle"/>
              <w:contextualSpacing/>
              <w:rPr>
                <w:shd w:val="clear" w:color="auto" w:fill="BFBFBF"/>
                <w:lang w:val="es-MX"/>
              </w:rPr>
            </w:pPr>
          </w:p>
          <w:p w:rsidR="0084626A" w:rsidRPr="006C77D1" w:rsidRDefault="0084626A" w:rsidP="008F01F0">
            <w:pPr>
              <w:pStyle w:val="procedurestablestyle"/>
              <w:contextualSpacing/>
              <w:rPr>
                <w:lang w:val="es-MX"/>
              </w:rPr>
            </w:pPr>
          </w:p>
        </w:tc>
      </w:tr>
      <w:tr w:rsidR="00DF610D" w:rsidRPr="0037476E" w:rsidTr="0035018D">
        <w:trPr>
          <w:cantSplit/>
          <w:trHeight w:val="200"/>
        </w:trPr>
        <w:tc>
          <w:tcPr>
            <w:tcW w:w="2250" w:type="dxa"/>
            <w:tcBorders>
              <w:top w:val="single" w:sz="6" w:space="0" w:color="FFFFFF"/>
              <w:left w:val="single" w:sz="3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pStyle w:val="procedurestablestyle"/>
              <w:rPr>
                <w:lang w:val="es-MX"/>
              </w:rPr>
            </w:pPr>
            <w:r>
              <w:rPr>
                <w:i/>
                <w:lang w:val="es-ES"/>
              </w:rPr>
              <w:lastRenderedPageBreak/>
              <w:t>Asistente del</w:t>
            </w:r>
            <w:r w:rsidRPr="00D328D0">
              <w:rPr>
                <w:i/>
                <w:lang w:val="es-ES"/>
              </w:rPr>
              <w:t xml:space="preserve"> Presidente del </w:t>
            </w:r>
            <w:r>
              <w:rPr>
                <w:i/>
                <w:lang w:val="es-ES"/>
              </w:rPr>
              <w:t>CEI</w:t>
            </w:r>
            <w:r w:rsidRPr="00D328D0">
              <w:rPr>
                <w:i/>
                <w:lang w:val="es-ES"/>
              </w:rPr>
              <w:t xml:space="preserve"> </w:t>
            </w:r>
          </w:p>
        </w:tc>
        <w:tc>
          <w:tcPr>
            <w:tcW w:w="342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pStyle w:val="procedurestablestyle"/>
              <w:jc w:val="both"/>
              <w:rPr>
                <w:lang w:val="es-MX"/>
              </w:rPr>
            </w:pPr>
            <w:r w:rsidRPr="00D328D0">
              <w:rPr>
                <w:lang w:val="es-MX"/>
              </w:rPr>
              <w:t>Prepar</w:t>
            </w:r>
            <w:r>
              <w:rPr>
                <w:lang w:val="es-MX"/>
              </w:rPr>
              <w:t>ar</w:t>
            </w:r>
            <w:r w:rsidRPr="00D328D0">
              <w:rPr>
                <w:lang w:val="es-MX"/>
              </w:rPr>
              <w:t xml:space="preserve"> los sometimientos para </w:t>
            </w:r>
            <w:r>
              <w:rPr>
                <w:lang w:val="es-MX"/>
              </w:rPr>
              <w:t>su</w:t>
            </w:r>
            <w:r w:rsidRPr="00D328D0">
              <w:rPr>
                <w:lang w:val="es-MX"/>
              </w:rPr>
              <w:t xml:space="preserve"> revisión </w:t>
            </w:r>
            <w:r>
              <w:rPr>
                <w:lang w:val="es-MX"/>
              </w:rPr>
              <w:t xml:space="preserve">por parte </w:t>
            </w:r>
            <w:r w:rsidRPr="00D328D0">
              <w:rPr>
                <w:lang w:val="es-MX"/>
              </w:rPr>
              <w:t xml:space="preserve">del </w:t>
            </w:r>
            <w:r>
              <w:rPr>
                <w:lang w:val="es-MX"/>
              </w:rPr>
              <w:t>CEI, utilizando</w:t>
            </w:r>
            <w:r w:rsidRPr="00D328D0">
              <w:rPr>
                <w:lang w:val="es-MX"/>
              </w:rPr>
              <w:t xml:space="preserve"> la Lista de </w:t>
            </w:r>
            <w:r>
              <w:rPr>
                <w:lang w:val="es-MX"/>
              </w:rPr>
              <w:t>Verificación de Sometimiento</w:t>
            </w:r>
            <w:r w:rsidRPr="00D328D0">
              <w:rPr>
                <w:lang w:val="es-MX"/>
              </w:rPr>
              <w:t xml:space="preserve">, </w:t>
            </w:r>
            <w:r>
              <w:rPr>
                <w:lang w:val="es-MX"/>
              </w:rPr>
              <w:t xml:space="preserve">para asegurar </w:t>
            </w:r>
            <w:r w:rsidRPr="00D328D0">
              <w:rPr>
                <w:lang w:val="es-MX"/>
              </w:rPr>
              <w:t>que este completo.</w:t>
            </w:r>
          </w:p>
          <w:p w:rsidR="00DF610D" w:rsidRPr="00D328D0" w:rsidRDefault="00DF610D" w:rsidP="00901510">
            <w:pPr>
              <w:pStyle w:val="procedurestablestyle"/>
              <w:jc w:val="both"/>
              <w:rPr>
                <w:lang w:val="es-MX"/>
              </w:rPr>
            </w:pPr>
            <w:r>
              <w:rPr>
                <w:lang w:val="es-MX"/>
              </w:rPr>
              <w:t>Revisar</w:t>
            </w:r>
            <w:r w:rsidRPr="00D328D0">
              <w:rPr>
                <w:lang w:val="es-MX"/>
              </w:rPr>
              <w:t xml:space="preserve"> el formato de consentimiento para la inclusión de elementos requeridos por el SOP IC 701-703.</w:t>
            </w:r>
          </w:p>
          <w:p w:rsidR="00DF610D" w:rsidRPr="00D328D0" w:rsidRDefault="00DF610D" w:rsidP="00901510">
            <w:pPr>
              <w:pStyle w:val="procedurestablestyle"/>
              <w:jc w:val="both"/>
              <w:rPr>
                <w:lang w:val="es-MX"/>
              </w:rPr>
            </w:pPr>
            <w:r>
              <w:rPr>
                <w:lang w:val="es-MX"/>
              </w:rPr>
              <w:t>Devolver</w:t>
            </w:r>
            <w:r w:rsidRPr="00D328D0">
              <w:rPr>
                <w:lang w:val="es-MX"/>
              </w:rPr>
              <w:t xml:space="preserve"> </w:t>
            </w:r>
            <w:r>
              <w:rPr>
                <w:lang w:val="es-MX"/>
              </w:rPr>
              <w:t xml:space="preserve">al investigador </w:t>
            </w:r>
            <w:r w:rsidRPr="00D328D0">
              <w:rPr>
                <w:lang w:val="es-MX"/>
              </w:rPr>
              <w:t>l</w:t>
            </w:r>
            <w:r>
              <w:rPr>
                <w:lang w:val="es-MX"/>
              </w:rPr>
              <w:t>o</w:t>
            </w:r>
            <w:r w:rsidRPr="00D328D0">
              <w:rPr>
                <w:lang w:val="es-MX"/>
              </w:rPr>
              <w:t>s s</w:t>
            </w:r>
            <w:r>
              <w:rPr>
                <w:lang w:val="es-MX"/>
              </w:rPr>
              <w:t xml:space="preserve">ometimientos </w:t>
            </w:r>
            <w:r w:rsidRPr="00D328D0">
              <w:rPr>
                <w:lang w:val="es-MX"/>
              </w:rPr>
              <w:t>incomplet</w:t>
            </w:r>
            <w:r>
              <w:rPr>
                <w:lang w:val="es-MX"/>
              </w:rPr>
              <w:t>os, con un</w:t>
            </w:r>
            <w:r w:rsidRPr="00D328D0">
              <w:rPr>
                <w:lang w:val="es-MX"/>
              </w:rPr>
              <w:t>a carta  que describ</w:t>
            </w:r>
            <w:r>
              <w:rPr>
                <w:lang w:val="es-MX"/>
              </w:rPr>
              <w:t>a</w:t>
            </w:r>
            <w:r w:rsidRPr="00D328D0">
              <w:rPr>
                <w:lang w:val="es-MX"/>
              </w:rPr>
              <w:t xml:space="preserve"> el material que falta. </w:t>
            </w:r>
          </w:p>
          <w:p w:rsidR="00DF610D" w:rsidRPr="00D328D0" w:rsidRDefault="00DF610D" w:rsidP="00901510">
            <w:pPr>
              <w:pStyle w:val="procedurestablestyle"/>
              <w:jc w:val="both"/>
              <w:rPr>
                <w:lang w:val="es-MX"/>
              </w:rPr>
            </w:pPr>
            <w:r w:rsidRPr="00D328D0">
              <w:rPr>
                <w:lang w:val="es-MX"/>
              </w:rPr>
              <w:t>Agreg</w:t>
            </w:r>
            <w:r>
              <w:rPr>
                <w:lang w:val="es-MX"/>
              </w:rPr>
              <w:t>ar</w:t>
            </w:r>
            <w:r w:rsidRPr="00D328D0">
              <w:rPr>
                <w:lang w:val="es-MX"/>
              </w:rPr>
              <w:t xml:space="preserve"> nuevo</w:t>
            </w:r>
            <w:r>
              <w:rPr>
                <w:lang w:val="es-MX"/>
              </w:rPr>
              <w:t>s</w:t>
            </w:r>
            <w:r w:rsidRPr="00D328D0">
              <w:rPr>
                <w:lang w:val="es-MX"/>
              </w:rPr>
              <w:t xml:space="preserve"> sometimiento</w:t>
            </w:r>
            <w:r>
              <w:rPr>
                <w:lang w:val="es-MX"/>
              </w:rPr>
              <w:t>s</w:t>
            </w:r>
            <w:r w:rsidRPr="00D328D0">
              <w:rPr>
                <w:lang w:val="es-MX"/>
              </w:rPr>
              <w:t xml:space="preserve"> para la revisión completa por </w:t>
            </w:r>
            <w:r>
              <w:rPr>
                <w:lang w:val="es-MX"/>
              </w:rPr>
              <w:t>parte d</w:t>
            </w:r>
            <w:r w:rsidRPr="00D328D0">
              <w:rPr>
                <w:lang w:val="es-MX"/>
              </w:rPr>
              <w:t xml:space="preserve">el </w:t>
            </w:r>
            <w:r>
              <w:rPr>
                <w:lang w:val="es-MX"/>
              </w:rPr>
              <w:t>CEI</w:t>
            </w:r>
            <w:r w:rsidRPr="00D328D0">
              <w:rPr>
                <w:lang w:val="es-MX"/>
              </w:rPr>
              <w:t xml:space="preserve"> </w:t>
            </w:r>
            <w:r>
              <w:rPr>
                <w:lang w:val="es-MX"/>
              </w:rPr>
              <w:t xml:space="preserve">en </w:t>
            </w:r>
            <w:r w:rsidRPr="00D328D0">
              <w:rPr>
                <w:lang w:val="es-MX"/>
              </w:rPr>
              <w:t>la siguiente junta programado</w:t>
            </w:r>
            <w:r>
              <w:rPr>
                <w:lang w:val="es-MX"/>
              </w:rPr>
              <w:t xml:space="preserve">, utilizando el </w:t>
            </w:r>
            <w:r w:rsidRPr="00D328D0">
              <w:rPr>
                <w:lang w:val="es-MX"/>
              </w:rPr>
              <w:t xml:space="preserve">SOP FO 303. </w:t>
            </w:r>
          </w:p>
        </w:tc>
        <w:tc>
          <w:tcPr>
            <w:tcW w:w="2835" w:type="dxa"/>
            <w:tcBorders>
              <w:top w:val="single" w:sz="6" w:space="0" w:color="FFFFFF"/>
              <w:left w:val="single" w:sz="6" w:space="0" w:color="FFFFFF"/>
              <w:bottom w:val="single" w:sz="6" w:space="0" w:color="FFFFFF"/>
              <w:right w:val="single" w:sz="36" w:space="0" w:color="FFFFFF"/>
            </w:tcBorders>
            <w:shd w:val="clear" w:color="auto" w:fill="F2F2F2" w:themeFill="background1" w:themeFillShade="F2"/>
          </w:tcPr>
          <w:p w:rsidR="00DF610D" w:rsidRPr="00D328D0" w:rsidRDefault="00DF610D" w:rsidP="00901510">
            <w:pPr>
              <w:pStyle w:val="procedurestablestyle"/>
              <w:rPr>
                <w:lang w:val="es-MX"/>
              </w:rPr>
            </w:pPr>
            <w:r>
              <w:rPr>
                <w:lang w:val="es-MX"/>
              </w:rPr>
              <w:t>Confirmación</w:t>
            </w:r>
            <w:r w:rsidRPr="00D328D0">
              <w:rPr>
                <w:lang w:val="es-MX"/>
              </w:rPr>
              <w:t xml:space="preserve">/Petición de Información </w:t>
            </w:r>
            <w:r>
              <w:rPr>
                <w:lang w:val="es-MX"/>
              </w:rPr>
              <w:t>A</w:t>
            </w:r>
            <w:r w:rsidRPr="00D328D0">
              <w:rPr>
                <w:lang w:val="es-MX"/>
              </w:rPr>
              <w:t>dicional</w:t>
            </w:r>
          </w:p>
          <w:p w:rsidR="00DF610D" w:rsidRPr="00D328D0" w:rsidRDefault="00DF610D" w:rsidP="00901510">
            <w:pPr>
              <w:pStyle w:val="procedurestablestyle"/>
              <w:rPr>
                <w:lang w:val="es-MX"/>
              </w:rPr>
            </w:pPr>
            <w:r w:rsidRPr="00D328D0">
              <w:rPr>
                <w:lang w:val="es-MX"/>
              </w:rPr>
              <w:t>Lista de</w:t>
            </w:r>
            <w:r>
              <w:rPr>
                <w:lang w:val="es-MX"/>
              </w:rPr>
              <w:t>l</w:t>
            </w:r>
            <w:r w:rsidRPr="00D328D0">
              <w:rPr>
                <w:lang w:val="es-MX"/>
              </w:rPr>
              <w:t xml:space="preserve"> Consentimiento Informado </w:t>
            </w:r>
          </w:p>
        </w:tc>
      </w:tr>
      <w:tr w:rsidR="00DF610D" w:rsidRPr="0037476E" w:rsidTr="0035018D">
        <w:trPr>
          <w:cantSplit/>
          <w:trHeight w:val="774"/>
        </w:trPr>
        <w:tc>
          <w:tcPr>
            <w:tcW w:w="2250" w:type="dxa"/>
            <w:tcBorders>
              <w:top w:val="single" w:sz="6" w:space="0" w:color="FFFFFF"/>
              <w:left w:val="single" w:sz="3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pStyle w:val="procedurestablestyle"/>
              <w:rPr>
                <w:lang w:val="es-MX"/>
              </w:rPr>
            </w:pPr>
            <w:r w:rsidRPr="00D328D0">
              <w:rPr>
                <w:i/>
                <w:lang w:val="es-MX"/>
              </w:rPr>
              <w:t>Asistente</w:t>
            </w:r>
          </w:p>
        </w:tc>
        <w:tc>
          <w:tcPr>
            <w:tcW w:w="342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rsidR="00DF610D" w:rsidRPr="00D328D0" w:rsidRDefault="00DF610D" w:rsidP="00901510">
            <w:pPr>
              <w:pStyle w:val="procedurestablestyle"/>
              <w:jc w:val="both"/>
              <w:rPr>
                <w:lang w:val="es-MX"/>
              </w:rPr>
            </w:pPr>
            <w:r w:rsidRPr="00D328D0">
              <w:rPr>
                <w:lang w:val="es-MX"/>
              </w:rPr>
              <w:t>Env</w:t>
            </w:r>
            <w:r>
              <w:rPr>
                <w:lang w:val="es-MX"/>
              </w:rPr>
              <w:t>iar</w:t>
            </w:r>
            <w:r w:rsidRPr="00D328D0">
              <w:rPr>
                <w:lang w:val="es-MX"/>
              </w:rPr>
              <w:t xml:space="preserve"> al investigador </w:t>
            </w:r>
            <w:r>
              <w:rPr>
                <w:lang w:val="es-MX"/>
              </w:rPr>
              <w:t>una confirmación</w:t>
            </w:r>
            <w:r w:rsidRPr="00D328D0">
              <w:rPr>
                <w:lang w:val="es-MX"/>
              </w:rPr>
              <w:t>, indicando la fecha de la revisión y si su presencia es requerida.</w:t>
            </w:r>
          </w:p>
        </w:tc>
        <w:tc>
          <w:tcPr>
            <w:tcW w:w="2835" w:type="dxa"/>
            <w:tcBorders>
              <w:top w:val="single" w:sz="6" w:space="0" w:color="FFFFFF"/>
              <w:left w:val="single" w:sz="6" w:space="0" w:color="FFFFFF"/>
              <w:bottom w:val="single" w:sz="6" w:space="0" w:color="FFFFFF"/>
              <w:right w:val="single" w:sz="36" w:space="0" w:color="FFFFFF"/>
            </w:tcBorders>
            <w:shd w:val="clear" w:color="auto" w:fill="F2F2F2" w:themeFill="background1" w:themeFillShade="F2"/>
          </w:tcPr>
          <w:p w:rsidR="00DF610D" w:rsidRPr="00D328D0" w:rsidRDefault="00DF610D" w:rsidP="00901510">
            <w:pPr>
              <w:pStyle w:val="procedurestablestyle"/>
              <w:spacing w:after="0"/>
              <w:rPr>
                <w:lang w:val="es-MX"/>
              </w:rPr>
            </w:pPr>
            <w:r w:rsidRPr="00D328D0">
              <w:rPr>
                <w:lang w:val="es-MX"/>
              </w:rPr>
              <w:t>Con</w:t>
            </w:r>
            <w:r>
              <w:rPr>
                <w:lang w:val="es-MX"/>
              </w:rPr>
              <w:t>firmación</w:t>
            </w:r>
            <w:r w:rsidRPr="00D328D0">
              <w:rPr>
                <w:lang w:val="es-MX"/>
              </w:rPr>
              <w:t>/Petición de Información Adicional</w:t>
            </w:r>
          </w:p>
        </w:tc>
      </w:tr>
      <w:tr w:rsidR="00DF610D" w:rsidRPr="0010726F" w:rsidTr="0035018D">
        <w:trPr>
          <w:cantSplit/>
          <w:trHeight w:val="774"/>
        </w:trPr>
        <w:tc>
          <w:tcPr>
            <w:tcW w:w="2250" w:type="dxa"/>
            <w:tcBorders>
              <w:top w:val="single" w:sz="6" w:space="0" w:color="FFFFFF"/>
              <w:left w:val="single" w:sz="36" w:space="0" w:color="FFFFFF"/>
              <w:bottom w:val="single" w:sz="6" w:space="0" w:color="FFFFFF"/>
              <w:right w:val="single" w:sz="6" w:space="0" w:color="FFFFFF"/>
            </w:tcBorders>
            <w:shd w:val="clear" w:color="auto" w:fill="F2F2F2" w:themeFill="background1" w:themeFillShade="F2"/>
          </w:tcPr>
          <w:p w:rsidR="00DF610D" w:rsidRPr="006C77D1" w:rsidRDefault="00DF610D" w:rsidP="008F01F0">
            <w:pPr>
              <w:pStyle w:val="procedurestablestyle"/>
              <w:contextualSpacing/>
              <w:rPr>
                <w:bCs w:val="0"/>
                <w:i/>
                <w:iCs/>
                <w:lang w:val="es-MX"/>
              </w:rPr>
            </w:pPr>
            <w:r w:rsidRPr="006C77D1">
              <w:rPr>
                <w:bCs w:val="0"/>
                <w:i/>
                <w:iCs/>
                <w:lang w:val="es-MX"/>
              </w:rPr>
              <w:t>Coordinación de Control de Calidad</w:t>
            </w:r>
          </w:p>
        </w:tc>
        <w:tc>
          <w:tcPr>
            <w:tcW w:w="3420" w:type="dxa"/>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rsidR="00DF610D" w:rsidRPr="006C77D1" w:rsidRDefault="00DF610D" w:rsidP="008F01F0">
            <w:pPr>
              <w:pStyle w:val="procedurestablestyle"/>
              <w:contextualSpacing/>
              <w:jc w:val="both"/>
              <w:rPr>
                <w:bCs w:val="0"/>
                <w:lang w:val="es-MX"/>
              </w:rPr>
            </w:pPr>
            <w:r w:rsidRPr="006C77D1">
              <w:rPr>
                <w:bCs w:val="0"/>
                <w:lang w:val="es-MX"/>
              </w:rPr>
              <w:t>Sirve</w:t>
            </w:r>
            <w:r>
              <w:rPr>
                <w:bCs w:val="0"/>
                <w:lang w:val="es-MX"/>
              </w:rPr>
              <w:t>n</w:t>
            </w:r>
            <w:r w:rsidRPr="006C77D1">
              <w:rPr>
                <w:bCs w:val="0"/>
                <w:lang w:val="es-MX"/>
              </w:rPr>
              <w:t xml:space="preserve"> como personas de contacto del sitio externo para poder resolver cualquier duda o problema inicial.</w:t>
            </w:r>
          </w:p>
          <w:p w:rsidR="00DF610D" w:rsidRPr="006C77D1" w:rsidRDefault="00DF610D" w:rsidP="008F01F0">
            <w:pPr>
              <w:pStyle w:val="procedurestablestyle"/>
              <w:contextualSpacing/>
              <w:jc w:val="both"/>
              <w:rPr>
                <w:bCs w:val="0"/>
                <w:lang w:val="es-MX"/>
              </w:rPr>
            </w:pPr>
            <w:r w:rsidRPr="006C77D1">
              <w:rPr>
                <w:bCs w:val="0"/>
                <w:lang w:val="es-MX"/>
              </w:rPr>
              <w:t>Asegúrese de que el estudio sea auditado al menos una vez al año o más si es necesario.</w:t>
            </w:r>
          </w:p>
          <w:p w:rsidR="00DF610D" w:rsidRPr="006C77D1" w:rsidRDefault="00DF610D" w:rsidP="00DF610D">
            <w:pPr>
              <w:pStyle w:val="procedurestablestyle"/>
              <w:contextualSpacing/>
              <w:jc w:val="both"/>
              <w:rPr>
                <w:bCs w:val="0"/>
                <w:lang w:val="es-MX"/>
              </w:rPr>
            </w:pPr>
            <w:r w:rsidRPr="006C77D1">
              <w:rPr>
                <w:bCs w:val="0"/>
                <w:lang w:val="es-MX"/>
              </w:rPr>
              <w:t xml:space="preserve">Informa al Presidente del </w:t>
            </w:r>
            <w:r>
              <w:rPr>
                <w:bCs w:val="0"/>
                <w:lang w:val="es-MX"/>
              </w:rPr>
              <w:t>CEI</w:t>
            </w:r>
            <w:r w:rsidRPr="006C77D1">
              <w:rPr>
                <w:bCs w:val="0"/>
                <w:lang w:val="es-MX"/>
              </w:rPr>
              <w:t xml:space="preserve"> cualquier problema no previsto, incumplimiento o conflicto de interés que deba ser revisado en </w:t>
            </w:r>
            <w:r>
              <w:rPr>
                <w:bCs w:val="0"/>
                <w:lang w:val="es-MX"/>
              </w:rPr>
              <w:t>el pleno de los Comités</w:t>
            </w:r>
          </w:p>
        </w:tc>
        <w:tc>
          <w:tcPr>
            <w:tcW w:w="2835" w:type="dxa"/>
            <w:tcBorders>
              <w:top w:val="single" w:sz="6" w:space="0" w:color="FFFFFF"/>
              <w:left w:val="single" w:sz="6" w:space="0" w:color="FFFFFF"/>
              <w:bottom w:val="single" w:sz="6" w:space="0" w:color="FFFFFF"/>
              <w:right w:val="single" w:sz="36" w:space="0" w:color="FFFFFF"/>
            </w:tcBorders>
            <w:shd w:val="clear" w:color="auto" w:fill="F2F2F2" w:themeFill="background1" w:themeFillShade="F2"/>
          </w:tcPr>
          <w:p w:rsidR="00DF610D" w:rsidRPr="00D328D0" w:rsidRDefault="00DF610D" w:rsidP="00901510">
            <w:pPr>
              <w:pStyle w:val="procedurestablestyle"/>
              <w:spacing w:after="0"/>
              <w:rPr>
                <w:lang w:val="es-MX"/>
              </w:rPr>
            </w:pPr>
            <w:r w:rsidRPr="00D328D0">
              <w:rPr>
                <w:lang w:val="es-MX"/>
              </w:rPr>
              <w:t>Con</w:t>
            </w:r>
            <w:r>
              <w:rPr>
                <w:lang w:val="es-MX"/>
              </w:rPr>
              <w:t>firmación</w:t>
            </w:r>
            <w:r w:rsidRPr="00D328D0">
              <w:rPr>
                <w:lang w:val="es-MX"/>
              </w:rPr>
              <w:t>/Petición de Información Adicional</w:t>
            </w:r>
          </w:p>
        </w:tc>
      </w:tr>
    </w:tbl>
    <w:p w:rsidR="00B50A97" w:rsidRPr="006C77D1" w:rsidRDefault="00B50A97" w:rsidP="008F01F0">
      <w:pPr>
        <w:autoSpaceDE w:val="0"/>
        <w:autoSpaceDN w:val="0"/>
        <w:adjustRightInd w:val="0"/>
        <w:contextualSpacing/>
        <w:jc w:val="both"/>
        <w:rPr>
          <w:rFonts w:ascii="Arial" w:eastAsiaTheme="minorHAnsi" w:hAnsi="Arial" w:cs="Arial"/>
          <w:szCs w:val="19"/>
          <w:lang w:val="es-MX"/>
        </w:rPr>
      </w:pPr>
    </w:p>
    <w:p w:rsidR="00803517" w:rsidRPr="006C77D1" w:rsidRDefault="00803517" w:rsidP="008F01F0">
      <w:pPr>
        <w:contextualSpacing/>
        <w:jc w:val="both"/>
        <w:rPr>
          <w:rFonts w:ascii="Arial" w:hAnsi="Arial" w:cs="Arial"/>
          <w:b/>
          <w:lang w:val="es-MX"/>
        </w:rPr>
      </w:pPr>
      <w:r w:rsidRPr="006C77D1">
        <w:rPr>
          <w:rFonts w:ascii="Arial" w:hAnsi="Arial" w:cs="Arial"/>
          <w:b/>
          <w:bCs/>
          <w:lang w:val="es-MX"/>
        </w:rPr>
        <w:lastRenderedPageBreak/>
        <w:t>VIII. MATERIALES</w:t>
      </w:r>
    </w:p>
    <w:p w:rsidR="003D3DE3" w:rsidRPr="006C77D1" w:rsidRDefault="003D3DE3" w:rsidP="008F01F0">
      <w:pPr>
        <w:contextualSpacing/>
        <w:jc w:val="both"/>
        <w:rPr>
          <w:rFonts w:ascii="Arial" w:hAnsi="Arial" w:cs="Arial"/>
          <w:b/>
          <w:lang w:val="es-MX"/>
        </w:rPr>
      </w:pPr>
    </w:p>
    <w:p w:rsidR="00CE4A89" w:rsidRPr="005B219F" w:rsidRDefault="00CE4A89" w:rsidP="00CE4A89">
      <w:pPr>
        <w:tabs>
          <w:tab w:val="left" w:pos="1728"/>
          <w:tab w:val="left" w:pos="10098"/>
        </w:tabs>
        <w:spacing w:before="60"/>
        <w:ind w:left="378"/>
        <w:jc w:val="both"/>
        <w:rPr>
          <w:rFonts w:ascii="Arial" w:hAnsi="Arial" w:cs="Arial"/>
          <w:lang w:val="es-MX"/>
        </w:rPr>
      </w:pPr>
      <w:r>
        <w:rPr>
          <w:rFonts w:ascii="Arial" w:hAnsi="Arial" w:cs="Arial"/>
          <w:lang w:val="es-MX"/>
        </w:rPr>
        <w:t>FO 301-A Formato de sometimiento inicial</w:t>
      </w:r>
    </w:p>
    <w:p w:rsidR="00CE4A89" w:rsidRPr="005B219F" w:rsidRDefault="00CE4A89" w:rsidP="00CE4A89">
      <w:pPr>
        <w:pStyle w:val="Ttulo9"/>
        <w:tabs>
          <w:tab w:val="left" w:pos="1728"/>
          <w:tab w:val="left" w:pos="10098"/>
        </w:tabs>
        <w:spacing w:before="60"/>
        <w:ind w:left="360"/>
        <w:jc w:val="both"/>
        <w:rPr>
          <w:rFonts w:ascii="Arial" w:hAnsi="Arial" w:cs="Arial"/>
          <w:i w:val="0"/>
          <w:color w:val="auto"/>
          <w:lang w:val="es-MX"/>
        </w:rPr>
      </w:pPr>
      <w:r>
        <w:rPr>
          <w:rFonts w:ascii="Arial" w:hAnsi="Arial" w:cs="Arial"/>
          <w:i w:val="0"/>
          <w:color w:val="auto"/>
          <w:sz w:val="24"/>
          <w:lang w:val="es-MX"/>
        </w:rPr>
        <w:t>FO 301-B Formato del resumen del e</w:t>
      </w:r>
      <w:r w:rsidRPr="005B219F">
        <w:rPr>
          <w:rFonts w:ascii="Arial" w:hAnsi="Arial" w:cs="Arial"/>
          <w:i w:val="0"/>
          <w:color w:val="auto"/>
          <w:sz w:val="24"/>
          <w:lang w:val="es-MX"/>
        </w:rPr>
        <w:t>studio</w:t>
      </w:r>
    </w:p>
    <w:p w:rsidR="00CE4A89" w:rsidRPr="005B219F" w:rsidRDefault="00CE4A89" w:rsidP="00CE4A89">
      <w:pPr>
        <w:tabs>
          <w:tab w:val="left" w:pos="1728"/>
          <w:tab w:val="left" w:pos="10098"/>
        </w:tabs>
        <w:spacing w:before="60"/>
        <w:ind w:left="378"/>
        <w:jc w:val="both"/>
        <w:rPr>
          <w:rFonts w:ascii="Arial" w:hAnsi="Arial" w:cs="Arial"/>
          <w:lang w:val="es-MX"/>
        </w:rPr>
      </w:pPr>
      <w:r w:rsidRPr="005B219F">
        <w:rPr>
          <w:rFonts w:ascii="Arial" w:hAnsi="Arial" w:cs="Arial"/>
          <w:lang w:val="es-MX"/>
        </w:rPr>
        <w:t xml:space="preserve">FO 301-C Lista de </w:t>
      </w:r>
      <w:r>
        <w:rPr>
          <w:rFonts w:ascii="Arial" w:hAnsi="Arial" w:cs="Arial"/>
          <w:lang w:val="es-MX"/>
        </w:rPr>
        <w:t>verificac</w:t>
      </w:r>
      <w:r w:rsidRPr="005B219F">
        <w:rPr>
          <w:rFonts w:ascii="Arial" w:hAnsi="Arial" w:cs="Arial"/>
          <w:lang w:val="es-MX"/>
        </w:rPr>
        <w:t xml:space="preserve">ión de </w:t>
      </w:r>
      <w:r>
        <w:rPr>
          <w:rFonts w:ascii="Arial" w:hAnsi="Arial" w:cs="Arial"/>
          <w:lang w:val="es-MX"/>
        </w:rPr>
        <w:t>s</w:t>
      </w:r>
      <w:r w:rsidRPr="005B219F">
        <w:rPr>
          <w:rFonts w:ascii="Arial" w:hAnsi="Arial" w:cs="Arial"/>
          <w:lang w:val="es-MX"/>
        </w:rPr>
        <w:t>ometimiento (Personal)</w:t>
      </w:r>
    </w:p>
    <w:p w:rsidR="00CE4A89" w:rsidRPr="005B219F" w:rsidRDefault="00CE4A89" w:rsidP="00CE4A89">
      <w:pPr>
        <w:tabs>
          <w:tab w:val="left" w:pos="1728"/>
          <w:tab w:val="left" w:pos="10098"/>
        </w:tabs>
        <w:spacing w:before="60"/>
        <w:ind w:left="378"/>
        <w:jc w:val="both"/>
        <w:rPr>
          <w:rFonts w:ascii="Arial" w:hAnsi="Arial" w:cs="Arial"/>
          <w:lang w:val="es-MX"/>
        </w:rPr>
      </w:pPr>
      <w:r w:rsidRPr="005B219F">
        <w:rPr>
          <w:rFonts w:ascii="Arial" w:hAnsi="Arial" w:cs="Arial"/>
          <w:lang w:val="es-MX"/>
        </w:rPr>
        <w:t>FO 301-D Con</w:t>
      </w:r>
      <w:r>
        <w:rPr>
          <w:rFonts w:ascii="Arial" w:hAnsi="Arial" w:cs="Arial"/>
          <w:lang w:val="es-MX"/>
        </w:rPr>
        <w:t>firmación</w:t>
      </w:r>
      <w:r w:rsidRPr="005B219F">
        <w:rPr>
          <w:rFonts w:ascii="Arial" w:hAnsi="Arial" w:cs="Arial"/>
          <w:lang w:val="es-MX"/>
        </w:rPr>
        <w:t>/Petición de Información Adicional</w:t>
      </w:r>
    </w:p>
    <w:p w:rsidR="00CE4A89" w:rsidRPr="006B76DE" w:rsidRDefault="00CE4A89" w:rsidP="00CE4A89">
      <w:pPr>
        <w:tabs>
          <w:tab w:val="left" w:pos="1728"/>
          <w:tab w:val="left" w:pos="10098"/>
        </w:tabs>
        <w:spacing w:before="60"/>
        <w:ind w:left="378"/>
        <w:jc w:val="both"/>
        <w:rPr>
          <w:rFonts w:ascii="Arial" w:hAnsi="Arial" w:cs="Arial"/>
          <w:lang w:val="es-MX"/>
        </w:rPr>
      </w:pPr>
      <w:r w:rsidRPr="005B219F">
        <w:rPr>
          <w:rFonts w:ascii="Arial" w:hAnsi="Arial" w:cs="Arial"/>
          <w:lang w:val="es-MX"/>
        </w:rPr>
        <w:t xml:space="preserve">FO </w:t>
      </w:r>
      <w:r w:rsidRPr="006B76DE">
        <w:rPr>
          <w:rFonts w:ascii="Arial" w:hAnsi="Arial" w:cs="Arial"/>
          <w:lang w:val="es-MX"/>
        </w:rPr>
        <w:t xml:space="preserve">301-E Formato de delegación de </w:t>
      </w:r>
      <w:r>
        <w:rPr>
          <w:rFonts w:ascii="Arial" w:hAnsi="Arial" w:cs="Arial"/>
          <w:lang w:val="es-MX"/>
        </w:rPr>
        <w:t>funciones</w:t>
      </w:r>
      <w:r w:rsidRPr="006B76DE">
        <w:rPr>
          <w:rFonts w:ascii="Arial" w:hAnsi="Arial" w:cs="Arial"/>
          <w:lang w:val="es-MX"/>
        </w:rPr>
        <w:t xml:space="preserve">  del Investigador</w:t>
      </w:r>
    </w:p>
    <w:p w:rsidR="000C70A5" w:rsidRPr="006C77D1" w:rsidRDefault="000C70A5" w:rsidP="008F01F0">
      <w:pPr>
        <w:tabs>
          <w:tab w:val="left" w:pos="1728"/>
          <w:tab w:val="left" w:pos="10098"/>
        </w:tabs>
        <w:spacing w:before="60"/>
        <w:ind w:left="378"/>
        <w:contextualSpacing/>
        <w:jc w:val="both"/>
        <w:rPr>
          <w:rFonts w:ascii="Arial" w:hAnsi="Arial" w:cs="Arial"/>
          <w:lang w:val="es-MX"/>
        </w:rPr>
      </w:pPr>
      <w:r w:rsidRPr="006C77D1">
        <w:rPr>
          <w:rFonts w:ascii="Arial" w:hAnsi="Arial" w:cs="Arial"/>
          <w:lang w:val="es-MX"/>
        </w:rPr>
        <w:t xml:space="preserve">FF 301-G </w:t>
      </w:r>
      <w:r w:rsidR="00CE4A89">
        <w:rPr>
          <w:rFonts w:ascii="Arial" w:hAnsi="Arial" w:cs="Arial"/>
          <w:lang w:val="es-MX"/>
        </w:rPr>
        <w:t>Convenio de colaboración</w:t>
      </w:r>
      <w:r w:rsidRPr="006C77D1">
        <w:rPr>
          <w:rFonts w:ascii="Arial" w:hAnsi="Arial" w:cs="Arial"/>
          <w:lang w:val="es-MX"/>
        </w:rPr>
        <w:t xml:space="preserve"> para sitios externos</w:t>
      </w:r>
    </w:p>
    <w:p w:rsidR="00A73C1B" w:rsidRPr="006C77D1" w:rsidRDefault="00A73C1B" w:rsidP="00A73C1B">
      <w:pPr>
        <w:tabs>
          <w:tab w:val="left" w:pos="1728"/>
          <w:tab w:val="left" w:pos="10098"/>
        </w:tabs>
        <w:spacing w:before="60"/>
        <w:ind w:left="378"/>
        <w:contextualSpacing/>
        <w:jc w:val="both"/>
        <w:rPr>
          <w:rFonts w:ascii="Arial" w:hAnsi="Arial" w:cs="Arial"/>
          <w:lang w:val="es-MX"/>
        </w:rPr>
      </w:pPr>
      <w:r w:rsidRPr="006C77D1">
        <w:rPr>
          <w:rFonts w:ascii="Arial" w:hAnsi="Arial" w:cs="Arial"/>
          <w:lang w:val="es-MX"/>
        </w:rPr>
        <w:t>F-RR-403-B-02 Hoja de trabajo de verificación del sitio</w:t>
      </w:r>
    </w:p>
    <w:p w:rsidR="00A73C1B" w:rsidRPr="006C77D1" w:rsidRDefault="00A73C1B" w:rsidP="008F01F0">
      <w:pPr>
        <w:tabs>
          <w:tab w:val="left" w:pos="1728"/>
          <w:tab w:val="left" w:pos="10098"/>
        </w:tabs>
        <w:spacing w:before="60"/>
        <w:ind w:left="378"/>
        <w:contextualSpacing/>
        <w:jc w:val="both"/>
        <w:rPr>
          <w:rFonts w:ascii="Arial" w:hAnsi="Arial" w:cs="Arial"/>
          <w:lang w:val="es-MX"/>
        </w:rPr>
      </w:pPr>
    </w:p>
    <w:p w:rsidR="003D3DE3" w:rsidRPr="006C77D1" w:rsidRDefault="003D3DE3" w:rsidP="008F01F0">
      <w:pPr>
        <w:ind w:firstLine="708"/>
        <w:contextualSpacing/>
        <w:jc w:val="both"/>
        <w:rPr>
          <w:rFonts w:ascii="Arial" w:hAnsi="Arial" w:cs="Arial"/>
          <w:lang w:val="es-MX"/>
        </w:rPr>
      </w:pPr>
    </w:p>
    <w:p w:rsidR="00830631" w:rsidRPr="006C77D1" w:rsidRDefault="00830631" w:rsidP="008F01F0">
      <w:pPr>
        <w:contextualSpacing/>
        <w:jc w:val="both"/>
        <w:rPr>
          <w:rFonts w:ascii="Arial" w:hAnsi="Arial" w:cs="Arial"/>
          <w:b/>
          <w:lang w:val="es-MX"/>
        </w:rPr>
      </w:pPr>
      <w:r w:rsidRPr="006C77D1">
        <w:rPr>
          <w:rFonts w:ascii="Arial" w:hAnsi="Arial" w:cs="Arial"/>
          <w:b/>
          <w:bCs/>
          <w:lang w:val="es-MX"/>
        </w:rPr>
        <w:t>VIII. ENLACES DE INTERÉS O DESCARGAS</w:t>
      </w:r>
    </w:p>
    <w:p w:rsidR="00985FCE" w:rsidRPr="006C77D1" w:rsidRDefault="00985FCE" w:rsidP="008F01F0">
      <w:pPr>
        <w:contextualSpacing/>
        <w:jc w:val="both"/>
        <w:rPr>
          <w:rFonts w:ascii="Arial" w:hAnsi="Arial" w:cs="Arial"/>
          <w:b/>
          <w:lang w:val="es-MX"/>
        </w:rPr>
      </w:pPr>
    </w:p>
    <w:p w:rsidR="00CE4A89" w:rsidRPr="00D328D0" w:rsidRDefault="00CE4A89" w:rsidP="00CE4A89">
      <w:pPr>
        <w:ind w:firstLine="708"/>
        <w:jc w:val="both"/>
        <w:rPr>
          <w:rFonts w:ascii="Arial" w:hAnsi="Arial" w:cs="Arial"/>
        </w:rPr>
      </w:pPr>
      <w:r w:rsidRPr="00D328D0">
        <w:rPr>
          <w:rFonts w:ascii="Arial" w:hAnsi="Arial" w:cs="Arial"/>
        </w:rPr>
        <w:t xml:space="preserve">VII.1 FDA. Regulaciones </w:t>
      </w:r>
      <w:r>
        <w:rPr>
          <w:rFonts w:ascii="Arial" w:hAnsi="Arial" w:cs="Arial"/>
        </w:rPr>
        <w:t>de CEI</w:t>
      </w:r>
    </w:p>
    <w:p w:rsidR="00CE4A89" w:rsidRPr="00D328D0" w:rsidRDefault="00247994" w:rsidP="00CE4A89">
      <w:pPr>
        <w:ind w:firstLine="708"/>
        <w:jc w:val="both"/>
        <w:rPr>
          <w:rFonts w:ascii="Arial" w:hAnsi="Arial" w:cs="Arial"/>
        </w:rPr>
      </w:pPr>
      <w:hyperlink r:id="rId9" w:history="1">
        <w:r w:rsidR="00CE4A89" w:rsidRPr="00D328D0">
          <w:rPr>
            <w:rStyle w:val="Hipervnculo"/>
            <w:rFonts w:ascii="Arial" w:hAnsi="Arial" w:cs="Arial"/>
            <w:color w:val="auto"/>
          </w:rPr>
          <w:t>http://www.fda.gov/ScienceResearch/SpecialTopics/RunningClinicalTrials/GuidancesInformationSheetsandNotices/ucm113709.htm</w:t>
        </w:r>
      </w:hyperlink>
    </w:p>
    <w:p w:rsidR="00CE4A89" w:rsidRPr="00D328D0" w:rsidRDefault="00CE4A89" w:rsidP="00CE4A89">
      <w:pPr>
        <w:ind w:firstLine="708"/>
        <w:jc w:val="both"/>
        <w:rPr>
          <w:rFonts w:ascii="Arial" w:hAnsi="Arial" w:cs="Arial"/>
        </w:rPr>
      </w:pPr>
    </w:p>
    <w:p w:rsidR="00CE4A89" w:rsidRPr="00D328D0" w:rsidRDefault="00CE4A89" w:rsidP="00CE4A89">
      <w:pPr>
        <w:ind w:firstLine="708"/>
        <w:jc w:val="both"/>
        <w:rPr>
          <w:rFonts w:ascii="Arial" w:hAnsi="Arial" w:cs="Arial"/>
        </w:rPr>
      </w:pPr>
      <w:r w:rsidRPr="00D328D0">
        <w:rPr>
          <w:rFonts w:ascii="Arial" w:hAnsi="Arial" w:cs="Arial"/>
        </w:rPr>
        <w:t xml:space="preserve">VII.2.  Subdirección de Investigación. </w:t>
      </w:r>
    </w:p>
    <w:p w:rsidR="00CE4A89" w:rsidRPr="00D328D0" w:rsidRDefault="00CE4A89" w:rsidP="00CE4A89">
      <w:pPr>
        <w:ind w:firstLine="708"/>
        <w:jc w:val="both"/>
        <w:rPr>
          <w:rFonts w:ascii="Arial" w:hAnsi="Arial" w:cs="Arial"/>
        </w:rPr>
      </w:pPr>
      <w:r w:rsidRPr="00A17D37">
        <w:rPr>
          <w:rFonts w:ascii="Arial" w:hAnsi="Arial" w:cs="Arial"/>
        </w:rPr>
        <w:t>http:/</w:t>
      </w:r>
      <w:r>
        <w:rPr>
          <w:rFonts w:ascii="Arial" w:hAnsi="Arial" w:cs="Arial"/>
        </w:rPr>
        <w:t>/www.investigacion-meduanl.com</w:t>
      </w:r>
    </w:p>
    <w:p w:rsidR="00803517" w:rsidRPr="00CE4A89" w:rsidRDefault="00803517" w:rsidP="008F01F0">
      <w:pPr>
        <w:contextualSpacing/>
        <w:jc w:val="both"/>
        <w:rPr>
          <w:rFonts w:ascii="Arial" w:hAnsi="Arial" w:cs="Arial"/>
          <w:b/>
        </w:rPr>
      </w:pPr>
    </w:p>
    <w:p w:rsidR="00803517" w:rsidRPr="009D278D" w:rsidRDefault="00803517" w:rsidP="008F01F0">
      <w:pPr>
        <w:contextualSpacing/>
        <w:jc w:val="both"/>
        <w:rPr>
          <w:rFonts w:ascii="Arial" w:hAnsi="Arial" w:cs="Arial"/>
          <w:b/>
        </w:rPr>
      </w:pPr>
      <w:r w:rsidRPr="009D278D">
        <w:rPr>
          <w:rFonts w:ascii="Arial" w:hAnsi="Arial" w:cs="Arial"/>
          <w:b/>
          <w:bCs/>
          <w:lang w:val="en-US"/>
        </w:rPr>
        <w:t>IX. REFERENCIAS</w:t>
      </w:r>
    </w:p>
    <w:p w:rsidR="003711D6" w:rsidRPr="009D278D" w:rsidRDefault="003711D6" w:rsidP="008F01F0">
      <w:pPr>
        <w:pStyle w:val="level1bodystyle"/>
        <w:ind w:left="1080"/>
        <w:contextualSpacing/>
        <w:jc w:val="both"/>
      </w:pPr>
    </w:p>
    <w:p w:rsidR="0084626A" w:rsidRPr="006C77D1" w:rsidRDefault="0035018D" w:rsidP="008F01F0">
      <w:pPr>
        <w:pStyle w:val="level1bodystyle"/>
        <w:numPr>
          <w:ilvl w:val="0"/>
          <w:numId w:val="11"/>
        </w:numPr>
        <w:contextualSpacing/>
        <w:jc w:val="both"/>
        <w:rPr>
          <w:lang w:val="es-MX"/>
        </w:rPr>
      </w:pPr>
      <w:r w:rsidRPr="006C77D1">
        <w:rPr>
          <w:lang w:val="es-MX"/>
        </w:rPr>
        <w:t>Reglamento de la Ley General de Salud en Materia de Investigación para la Salud Artículo 116, 117, 118.</w:t>
      </w:r>
    </w:p>
    <w:p w:rsidR="00DA0186" w:rsidRPr="009D278D" w:rsidRDefault="006401B4" w:rsidP="008F01F0">
      <w:pPr>
        <w:pStyle w:val="level1bodystyle"/>
        <w:numPr>
          <w:ilvl w:val="0"/>
          <w:numId w:val="11"/>
        </w:numPr>
        <w:contextualSpacing/>
        <w:jc w:val="both"/>
        <w:rPr>
          <w:b/>
          <w:lang w:val="es-MX"/>
        </w:rPr>
      </w:pPr>
      <w:r w:rsidRPr="009D278D">
        <w:rPr>
          <w:lang w:val="es-MX"/>
        </w:rPr>
        <w:t>Referencia AAHRPP. Elemento II.1.A, II.1.B, II.1.E, II.2.C, II.2.D, II.2.E, II.3.A, III.2.B.</w:t>
      </w:r>
    </w:p>
    <w:p w:rsidR="00CE4A89" w:rsidRPr="00A17D37" w:rsidRDefault="00CE4A89" w:rsidP="00CE4A89">
      <w:pPr>
        <w:pStyle w:val="level1bodystyle"/>
        <w:numPr>
          <w:ilvl w:val="0"/>
          <w:numId w:val="11"/>
        </w:numPr>
        <w:jc w:val="both"/>
        <w:rPr>
          <w:lang w:val="es-MX"/>
        </w:rPr>
      </w:pPr>
      <w:r w:rsidRPr="00A17D37">
        <w:rPr>
          <w:lang w:val="es-MX"/>
        </w:rPr>
        <w:t xml:space="preserve">Guía Nacional para la Integración y el Funcionamiento de los </w:t>
      </w:r>
      <w:proofErr w:type="spellStart"/>
      <w:r w:rsidRPr="00A17D37">
        <w:rPr>
          <w:lang w:val="es-MX"/>
        </w:rPr>
        <w:t>CEIs</w:t>
      </w:r>
      <w:proofErr w:type="spellEnd"/>
      <w:r w:rsidRPr="00A17D37">
        <w:rPr>
          <w:lang w:val="es-MX"/>
        </w:rPr>
        <w:t xml:space="preserve"> de Ética en Investigación, </w:t>
      </w:r>
      <w:r w:rsidR="00171EF4">
        <w:rPr>
          <w:lang w:val="es-MX"/>
        </w:rPr>
        <w:t>Sexta Edición, 2018</w:t>
      </w:r>
      <w:r w:rsidRPr="00A17D37">
        <w:rPr>
          <w:lang w:val="es-MX"/>
        </w:rPr>
        <w:t>.</w:t>
      </w:r>
    </w:p>
    <w:p w:rsidR="00CE4A89" w:rsidRPr="006C77D1" w:rsidRDefault="00CE4A89" w:rsidP="00CE4A89">
      <w:pPr>
        <w:pStyle w:val="level1bodystyle"/>
        <w:ind w:left="1080"/>
        <w:contextualSpacing/>
        <w:jc w:val="both"/>
        <w:rPr>
          <w:lang w:val="es-MX"/>
        </w:rPr>
      </w:pPr>
      <w:bookmarkStart w:id="0" w:name="_GoBack"/>
      <w:bookmarkEnd w:id="0"/>
    </w:p>
    <w:sectPr w:rsidR="00CE4A89" w:rsidRPr="006C77D1" w:rsidSect="006C7E6D">
      <w:headerReference w:type="default" r:id="rId10"/>
      <w:footerReference w:type="default" r:id="rId11"/>
      <w:pgSz w:w="12242" w:h="15842" w:code="1"/>
      <w:pgMar w:top="1701" w:right="1701" w:bottom="1418" w:left="1701" w:header="1703"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94" w:rsidRDefault="00247994" w:rsidP="00CB37E8">
      <w:r>
        <w:separator/>
      </w:r>
    </w:p>
  </w:endnote>
  <w:endnote w:type="continuationSeparator" w:id="0">
    <w:p w:rsidR="00247994" w:rsidRDefault="00247994"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altName w:val="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2739"/>
      <w:docPartObj>
        <w:docPartGallery w:val="Page Numbers (Bottom of Page)"/>
        <w:docPartUnique/>
      </w:docPartObj>
    </w:sdtPr>
    <w:sdtEndPr/>
    <w:sdtContent>
      <w:sdt>
        <w:sdtPr>
          <w:id w:val="216747587"/>
          <w:docPartObj>
            <w:docPartGallery w:val="Page Numbers (Top of Page)"/>
            <w:docPartUnique/>
          </w:docPartObj>
        </w:sdtPr>
        <w:sdtEndPr/>
        <w:sdtContent>
          <w:p w:rsidR="00E76A0F" w:rsidRDefault="00E76A0F">
            <w:pPr>
              <w:pStyle w:val="Piedepgina"/>
              <w:jc w:val="right"/>
            </w:pPr>
            <w:proofErr w:type="spellStart"/>
            <w:r>
              <w:rPr>
                <w:lang w:val="en-US"/>
              </w:rPr>
              <w:t>Página</w:t>
            </w:r>
            <w:proofErr w:type="spellEnd"/>
            <w:r w:rsidR="00525A11">
              <w:rPr>
                <w:lang w:val="en-US"/>
              </w:rPr>
              <w:t xml:space="preserve"> </w:t>
            </w:r>
            <w:r w:rsidR="000133FC">
              <w:rPr>
                <w:lang w:val="en-US"/>
              </w:rPr>
              <w:fldChar w:fldCharType="begin"/>
            </w:r>
            <w:r>
              <w:rPr>
                <w:lang w:val="en-US"/>
              </w:rPr>
              <w:instrText>PAGE</w:instrText>
            </w:r>
            <w:r w:rsidR="000133FC">
              <w:rPr>
                <w:lang w:val="en-US"/>
              </w:rPr>
              <w:fldChar w:fldCharType="separate"/>
            </w:r>
            <w:r w:rsidR="00171EF4">
              <w:rPr>
                <w:noProof/>
                <w:lang w:val="en-US"/>
              </w:rPr>
              <w:t>12</w:t>
            </w:r>
            <w:r w:rsidR="000133FC">
              <w:rPr>
                <w:lang w:val="en-US"/>
              </w:rPr>
              <w:fldChar w:fldCharType="end"/>
            </w:r>
            <w:r w:rsidR="00525A11">
              <w:rPr>
                <w:lang w:val="en-US"/>
              </w:rPr>
              <w:t xml:space="preserve"> </w:t>
            </w:r>
            <w:r>
              <w:rPr>
                <w:lang w:val="en-US"/>
              </w:rPr>
              <w:t>de</w:t>
            </w:r>
            <w:r w:rsidR="00525A11">
              <w:rPr>
                <w:lang w:val="en-US"/>
              </w:rPr>
              <w:t xml:space="preserve"> </w:t>
            </w:r>
            <w:r w:rsidR="000133FC">
              <w:rPr>
                <w:lang w:val="en-US"/>
              </w:rPr>
              <w:fldChar w:fldCharType="begin"/>
            </w:r>
            <w:r>
              <w:rPr>
                <w:lang w:val="en-US"/>
              </w:rPr>
              <w:instrText>NUMPAGES</w:instrText>
            </w:r>
            <w:r w:rsidR="000133FC">
              <w:rPr>
                <w:lang w:val="en-US"/>
              </w:rPr>
              <w:fldChar w:fldCharType="separate"/>
            </w:r>
            <w:r w:rsidR="00171EF4">
              <w:rPr>
                <w:noProof/>
                <w:lang w:val="en-US"/>
              </w:rPr>
              <w:t>12</w:t>
            </w:r>
            <w:r w:rsidR="000133FC">
              <w:rPr>
                <w:lang w:val="en-US"/>
              </w:rPr>
              <w:fldChar w:fldCharType="end"/>
            </w:r>
          </w:p>
        </w:sdtContent>
      </w:sdt>
    </w:sdtContent>
  </w:sdt>
  <w:p w:rsidR="00E76A0F" w:rsidRDefault="00E76A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94" w:rsidRDefault="00247994" w:rsidP="00CB37E8">
      <w:r>
        <w:separator/>
      </w:r>
    </w:p>
  </w:footnote>
  <w:footnote w:type="continuationSeparator" w:id="0">
    <w:p w:rsidR="00247994" w:rsidRDefault="00247994"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0F" w:rsidRDefault="00E76A0F">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165"/>
      <w:gridCol w:w="1165"/>
      <w:gridCol w:w="1422"/>
      <w:gridCol w:w="2016"/>
      <w:gridCol w:w="2288"/>
    </w:tblGrid>
    <w:tr w:rsidR="00E76A0F" w:rsidRPr="0037476E" w:rsidTr="007A5DCE">
      <w:trPr>
        <w:trHeight w:val="410"/>
      </w:trPr>
      <w:tc>
        <w:tcPr>
          <w:tcW w:w="1196" w:type="pct"/>
          <w:vMerge w:val="restart"/>
        </w:tcPr>
        <w:p w:rsidR="00E76A0F" w:rsidRDefault="00E76A0F" w:rsidP="007A5DCE">
          <w:pPr>
            <w:rPr>
              <w:rFonts w:ascii="Arial" w:hAnsi="Arial" w:cs="Arial"/>
              <w:sz w:val="12"/>
            </w:rPr>
          </w:pPr>
        </w:p>
        <w:p w:rsidR="00E76A0F" w:rsidRDefault="00E76A0F" w:rsidP="007A5DCE">
          <w:pPr>
            <w:rPr>
              <w:rFonts w:ascii="Arial" w:hAnsi="Arial" w:cs="Arial"/>
              <w:sz w:val="12"/>
            </w:rPr>
          </w:pPr>
        </w:p>
        <w:p w:rsidR="00FA2CD3" w:rsidRDefault="00FA2CD3" w:rsidP="00FA2CD3">
          <w:pPr>
            <w:jc w:val="center"/>
            <w:rPr>
              <w:rFonts w:ascii="Arial" w:hAnsi="Arial" w:cs="Arial"/>
              <w:sz w:val="12"/>
              <w:lang w:val="en-US"/>
            </w:rPr>
          </w:pPr>
        </w:p>
        <w:p w:rsidR="00FA2CD3" w:rsidRDefault="00FA2CD3" w:rsidP="00FA2CD3">
          <w:pPr>
            <w:jc w:val="center"/>
            <w:rPr>
              <w:rFonts w:ascii="Arial" w:hAnsi="Arial" w:cs="Arial"/>
              <w:sz w:val="12"/>
              <w:lang w:val="en-US"/>
            </w:rPr>
          </w:pPr>
          <w:r w:rsidRPr="007605B0">
            <w:rPr>
              <w:rFonts w:ascii="Arial" w:hAnsi="Arial" w:cs="Arial"/>
              <w:noProof/>
              <w:sz w:val="12"/>
              <w:lang w:val="es-MX" w:eastAsia="ja-JP"/>
            </w:rPr>
            <w:drawing>
              <wp:anchor distT="0" distB="0" distL="114300" distR="114300" simplePos="0" relativeHeight="251659264" behindDoc="0" locked="0" layoutInCell="1" allowOverlap="1" wp14:anchorId="5B8118A4" wp14:editId="029B415F">
                <wp:simplePos x="0" y="0"/>
                <wp:positionH relativeFrom="column">
                  <wp:posOffset>404644</wp:posOffset>
                </wp:positionH>
                <wp:positionV relativeFrom="paragraph">
                  <wp:posOffset>-173392</wp:posOffset>
                </wp:positionV>
                <wp:extent cx="370915" cy="363070"/>
                <wp:effectExtent l="19050" t="0" r="0" b="0"/>
                <wp:wrapSquare wrapText="bothSides"/>
                <wp:docPr id="1"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370840" cy="362585"/>
                        </a:xfrm>
                        <a:prstGeom prst="rect">
                          <a:avLst/>
                        </a:prstGeom>
                        <a:noFill/>
                        <a:ln w="9525">
                          <a:noFill/>
                          <a:miter lim="800000"/>
                          <a:headEnd/>
                          <a:tailEnd/>
                        </a:ln>
                      </pic:spPr>
                    </pic:pic>
                  </a:graphicData>
                </a:graphic>
              </wp:anchor>
            </w:drawing>
          </w:r>
        </w:p>
        <w:p w:rsidR="00FA2CD3" w:rsidRDefault="00FA2CD3" w:rsidP="00FA2CD3">
          <w:pPr>
            <w:jc w:val="center"/>
            <w:rPr>
              <w:rFonts w:ascii="Arial" w:hAnsi="Arial" w:cs="Arial"/>
              <w:sz w:val="12"/>
              <w:lang w:val="en-US"/>
            </w:rPr>
          </w:pPr>
        </w:p>
        <w:p w:rsidR="00FA2CD3" w:rsidRDefault="00FA2CD3" w:rsidP="00FA2CD3">
          <w:pPr>
            <w:jc w:val="center"/>
            <w:rPr>
              <w:rFonts w:ascii="Arial" w:hAnsi="Arial" w:cs="Arial"/>
              <w:sz w:val="12"/>
              <w:lang w:val="en-US"/>
            </w:rPr>
          </w:pPr>
        </w:p>
        <w:p w:rsidR="00FA2CD3" w:rsidRPr="006C77D1" w:rsidRDefault="00FA2CD3" w:rsidP="00FA2CD3">
          <w:pPr>
            <w:jc w:val="center"/>
            <w:rPr>
              <w:rFonts w:ascii="Arial" w:hAnsi="Arial" w:cs="Arial"/>
              <w:sz w:val="12"/>
              <w:lang w:val="es-MX"/>
            </w:rPr>
          </w:pPr>
          <w:r w:rsidRPr="006C77D1">
            <w:rPr>
              <w:rFonts w:ascii="Arial" w:hAnsi="Arial" w:cs="Arial"/>
              <w:sz w:val="12"/>
              <w:lang w:val="es-MX"/>
            </w:rPr>
            <w:t>Comité de Ética e Investigación del Hospital Universitario “Dr. José Eleuterio González”</w:t>
          </w:r>
        </w:p>
        <w:p w:rsidR="00E76A0F" w:rsidRPr="006C77D1" w:rsidRDefault="00E76A0F" w:rsidP="007A5DCE">
          <w:pPr>
            <w:rPr>
              <w:rFonts w:ascii="Arial" w:hAnsi="Arial" w:cs="Arial"/>
              <w:sz w:val="12"/>
              <w:lang w:val="es-MX"/>
            </w:rPr>
          </w:pPr>
        </w:p>
        <w:p w:rsidR="00E76A0F" w:rsidRPr="006C77D1" w:rsidRDefault="00E76A0F" w:rsidP="007A5DCE">
          <w:pPr>
            <w:rPr>
              <w:rFonts w:ascii="Arial" w:hAnsi="Arial" w:cs="Arial"/>
              <w:sz w:val="12"/>
              <w:lang w:val="es-MX"/>
            </w:rPr>
          </w:pPr>
        </w:p>
        <w:p w:rsidR="00E76A0F" w:rsidRPr="006C77D1" w:rsidRDefault="00E76A0F" w:rsidP="00FA2CD3">
          <w:pPr>
            <w:jc w:val="center"/>
            <w:rPr>
              <w:sz w:val="10"/>
              <w:lang w:val="es-MX"/>
            </w:rPr>
          </w:pPr>
        </w:p>
      </w:tc>
      <w:tc>
        <w:tcPr>
          <w:tcW w:w="3804" w:type="pct"/>
          <w:gridSpan w:val="4"/>
        </w:tcPr>
        <w:p w:rsidR="00E76A0F" w:rsidRPr="006C77D1" w:rsidRDefault="00E76A0F" w:rsidP="00DD6A74">
          <w:pPr>
            <w:rPr>
              <w:lang w:val="es-MX"/>
            </w:rPr>
          </w:pPr>
          <w:r w:rsidRPr="006C77D1">
            <w:rPr>
              <w:rFonts w:ascii="Arial" w:hAnsi="Arial" w:cs="Arial"/>
              <w:b/>
              <w:bCs/>
              <w:caps/>
              <w:lang w:val="es-MX"/>
            </w:rPr>
            <w:t>SOP: Requisitos para sitios externos para la presentación de investigaciones</w:t>
          </w:r>
        </w:p>
      </w:tc>
    </w:tr>
    <w:tr w:rsidR="00E76A0F" w:rsidTr="007A5DCE">
      <w:trPr>
        <w:trHeight w:val="343"/>
      </w:trPr>
      <w:tc>
        <w:tcPr>
          <w:tcW w:w="1196" w:type="pct"/>
          <w:vMerge/>
        </w:tcPr>
        <w:p w:rsidR="00E76A0F" w:rsidRPr="006C77D1" w:rsidRDefault="00E76A0F" w:rsidP="007A5DCE">
          <w:pPr>
            <w:rPr>
              <w:lang w:val="es-MX"/>
            </w:rPr>
          </w:pPr>
        </w:p>
      </w:tc>
      <w:tc>
        <w:tcPr>
          <w:tcW w:w="643" w:type="pct"/>
        </w:tcPr>
        <w:p w:rsidR="00E76A0F" w:rsidRPr="00803517" w:rsidRDefault="00E76A0F" w:rsidP="007A5DCE">
          <w:pPr>
            <w:jc w:val="center"/>
            <w:rPr>
              <w:rFonts w:ascii="Arial" w:hAnsi="Arial" w:cs="Arial"/>
              <w:sz w:val="16"/>
            </w:rPr>
          </w:pPr>
          <w:r>
            <w:rPr>
              <w:rFonts w:ascii="Arial" w:hAnsi="Arial" w:cs="Arial"/>
              <w:sz w:val="16"/>
              <w:lang w:val="en-US"/>
            </w:rPr>
            <w:t>Número</w:t>
          </w:r>
        </w:p>
      </w:tc>
      <w:tc>
        <w:tcPr>
          <w:tcW w:w="785" w:type="pct"/>
        </w:tcPr>
        <w:p w:rsidR="00E76A0F" w:rsidRPr="00803517" w:rsidRDefault="00E76A0F" w:rsidP="007A5DCE">
          <w:pPr>
            <w:jc w:val="center"/>
            <w:rPr>
              <w:rFonts w:ascii="Arial" w:hAnsi="Arial" w:cs="Arial"/>
              <w:sz w:val="16"/>
            </w:rPr>
          </w:pPr>
          <w:r>
            <w:rPr>
              <w:rFonts w:ascii="Arial" w:hAnsi="Arial" w:cs="Arial"/>
              <w:sz w:val="16"/>
              <w:lang w:val="en-US"/>
            </w:rPr>
            <w:t>Fecha</w:t>
          </w:r>
        </w:p>
      </w:tc>
      <w:tc>
        <w:tcPr>
          <w:tcW w:w="1113" w:type="pct"/>
        </w:tcPr>
        <w:p w:rsidR="00E76A0F" w:rsidRPr="00803517" w:rsidRDefault="00E76A0F" w:rsidP="007A5DCE">
          <w:pPr>
            <w:jc w:val="center"/>
            <w:rPr>
              <w:rFonts w:ascii="Arial" w:hAnsi="Arial" w:cs="Arial"/>
              <w:sz w:val="16"/>
            </w:rPr>
          </w:pPr>
          <w:r>
            <w:rPr>
              <w:rFonts w:ascii="Arial" w:hAnsi="Arial" w:cs="Arial"/>
              <w:sz w:val="16"/>
              <w:lang w:val="en-US"/>
            </w:rPr>
            <w:t>Autor</w:t>
          </w:r>
        </w:p>
      </w:tc>
      <w:tc>
        <w:tcPr>
          <w:tcW w:w="1262" w:type="pct"/>
        </w:tcPr>
        <w:p w:rsidR="00E76A0F" w:rsidRPr="00803517" w:rsidRDefault="00E76A0F" w:rsidP="007A5DCE">
          <w:pPr>
            <w:jc w:val="center"/>
            <w:rPr>
              <w:rFonts w:ascii="Arial" w:hAnsi="Arial" w:cs="Arial"/>
              <w:sz w:val="16"/>
            </w:rPr>
          </w:pPr>
          <w:r>
            <w:rPr>
              <w:rFonts w:ascii="Arial" w:hAnsi="Arial" w:cs="Arial"/>
              <w:sz w:val="16"/>
              <w:lang w:val="en-US"/>
            </w:rPr>
            <w:t>Aprobado por</w:t>
          </w:r>
        </w:p>
      </w:tc>
    </w:tr>
    <w:tr w:rsidR="00E76A0F" w:rsidTr="007A5DCE">
      <w:trPr>
        <w:trHeight w:val="544"/>
      </w:trPr>
      <w:tc>
        <w:tcPr>
          <w:tcW w:w="1196" w:type="pct"/>
          <w:vMerge/>
        </w:tcPr>
        <w:p w:rsidR="00E76A0F" w:rsidRDefault="00E76A0F" w:rsidP="007A5DCE"/>
      </w:tc>
      <w:tc>
        <w:tcPr>
          <w:tcW w:w="643" w:type="pct"/>
        </w:tcPr>
        <w:p w:rsidR="00E76A0F" w:rsidRDefault="00D43606" w:rsidP="007A5DCE">
          <w:pPr>
            <w:jc w:val="center"/>
            <w:rPr>
              <w:rFonts w:ascii="Arial" w:hAnsi="Arial" w:cs="Arial"/>
              <w:sz w:val="20"/>
              <w:szCs w:val="20"/>
              <w:lang w:val="en-US"/>
            </w:rPr>
          </w:pPr>
          <w:r>
            <w:rPr>
              <w:rFonts w:ascii="Arial" w:hAnsi="Arial" w:cs="Arial"/>
              <w:sz w:val="20"/>
              <w:szCs w:val="20"/>
              <w:lang w:val="en-US"/>
            </w:rPr>
            <w:t>FO-306</w:t>
          </w:r>
        </w:p>
        <w:p w:rsidR="00E76A0F" w:rsidRPr="00803517" w:rsidRDefault="00FA2CD3" w:rsidP="00D43606">
          <w:pPr>
            <w:jc w:val="center"/>
            <w:rPr>
              <w:rFonts w:ascii="Arial" w:hAnsi="Arial" w:cs="Arial"/>
              <w:sz w:val="20"/>
              <w:szCs w:val="20"/>
            </w:rPr>
          </w:pPr>
          <w:proofErr w:type="spellStart"/>
          <w:r>
            <w:rPr>
              <w:rFonts w:ascii="Arial" w:hAnsi="Arial" w:cs="Arial"/>
              <w:sz w:val="20"/>
              <w:szCs w:val="20"/>
              <w:lang w:val="en-US"/>
            </w:rPr>
            <w:t>Versión</w:t>
          </w:r>
          <w:proofErr w:type="spellEnd"/>
          <w:r>
            <w:rPr>
              <w:rFonts w:ascii="Arial" w:hAnsi="Arial" w:cs="Arial"/>
              <w:sz w:val="20"/>
              <w:szCs w:val="20"/>
              <w:lang w:val="en-US"/>
            </w:rPr>
            <w:t xml:space="preserve"> 01</w:t>
          </w:r>
        </w:p>
      </w:tc>
      <w:tc>
        <w:tcPr>
          <w:tcW w:w="785" w:type="pct"/>
        </w:tcPr>
        <w:p w:rsidR="00E76A0F" w:rsidRPr="00803517" w:rsidRDefault="006C77D1" w:rsidP="007A5DCE">
          <w:pPr>
            <w:jc w:val="center"/>
            <w:rPr>
              <w:rFonts w:ascii="Arial" w:hAnsi="Arial" w:cs="Arial"/>
              <w:sz w:val="20"/>
              <w:szCs w:val="20"/>
            </w:rPr>
          </w:pPr>
          <w:r>
            <w:rPr>
              <w:rFonts w:ascii="Arial" w:hAnsi="Arial" w:cs="Arial"/>
              <w:sz w:val="20"/>
              <w:szCs w:val="20"/>
            </w:rPr>
            <w:t>A</w:t>
          </w:r>
          <w:r w:rsidR="00D43606">
            <w:rPr>
              <w:rFonts w:ascii="Arial" w:hAnsi="Arial" w:cs="Arial"/>
              <w:sz w:val="20"/>
              <w:szCs w:val="20"/>
            </w:rPr>
            <w:t>gosto, 2022</w:t>
          </w:r>
        </w:p>
      </w:tc>
      <w:tc>
        <w:tcPr>
          <w:tcW w:w="1113" w:type="pct"/>
        </w:tcPr>
        <w:p w:rsidR="00E76A0F" w:rsidRPr="00803517" w:rsidRDefault="00D43606" w:rsidP="00D43606">
          <w:pPr>
            <w:rPr>
              <w:rFonts w:ascii="Arial" w:hAnsi="Arial" w:cs="Arial"/>
              <w:sz w:val="20"/>
              <w:szCs w:val="20"/>
            </w:rPr>
          </w:pPr>
          <w:r>
            <w:rPr>
              <w:rFonts w:ascii="Arial" w:hAnsi="Arial" w:cs="Arial"/>
              <w:sz w:val="20"/>
              <w:szCs w:val="20"/>
            </w:rPr>
            <w:t>E. Cantú, JG Garza</w:t>
          </w:r>
        </w:p>
      </w:tc>
      <w:tc>
        <w:tcPr>
          <w:tcW w:w="1262" w:type="pct"/>
        </w:tcPr>
        <w:p w:rsidR="00E76A0F" w:rsidRPr="00803517" w:rsidRDefault="00D43606" w:rsidP="007A5DCE">
          <w:pPr>
            <w:jc w:val="center"/>
            <w:rPr>
              <w:rFonts w:ascii="Arial" w:hAnsi="Arial" w:cs="Arial"/>
              <w:sz w:val="20"/>
              <w:szCs w:val="20"/>
            </w:rPr>
          </w:pPr>
          <w:r>
            <w:rPr>
              <w:rFonts w:ascii="Arial" w:hAnsi="Arial" w:cs="Arial"/>
              <w:sz w:val="20"/>
              <w:szCs w:val="20"/>
              <w:lang w:val="es-MX"/>
            </w:rPr>
            <w:t>A. Camacho</w:t>
          </w:r>
        </w:p>
      </w:tc>
    </w:tr>
  </w:tbl>
  <w:p w:rsidR="00E76A0F" w:rsidRDefault="00E76A0F">
    <w:pPr>
      <w:pStyle w:val="Encabezado"/>
    </w:pPr>
  </w:p>
  <w:p w:rsidR="00E76A0F" w:rsidRDefault="00E76A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32E"/>
    <w:multiLevelType w:val="hybridMultilevel"/>
    <w:tmpl w:val="1272DD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951ED"/>
    <w:multiLevelType w:val="multilevel"/>
    <w:tmpl w:val="49C0A592"/>
    <w:lvl w:ilvl="0">
      <w:start w:val="1"/>
      <w:numFmt w:val="decimal"/>
      <w:lvlText w:val="%1"/>
      <w:lvlJc w:val="left"/>
      <w:pPr>
        <w:tabs>
          <w:tab w:val="num" w:pos="360"/>
        </w:tabs>
        <w:ind w:left="360" w:hanging="360"/>
      </w:pPr>
    </w:lvl>
    <w:lvl w:ilvl="1">
      <w:start w:val="2"/>
      <w:numFmt w:val="decimal"/>
      <w:lvlText w:val="%1.%2"/>
      <w:lvlJc w:val="left"/>
      <w:pPr>
        <w:tabs>
          <w:tab w:val="num" w:pos="636"/>
        </w:tabs>
        <w:ind w:left="636" w:hanging="360"/>
      </w:pPr>
    </w:lvl>
    <w:lvl w:ilvl="2">
      <w:start w:val="1"/>
      <w:numFmt w:val="decimal"/>
      <w:lvlText w:val="%1.%2.%3"/>
      <w:lvlJc w:val="left"/>
      <w:pPr>
        <w:tabs>
          <w:tab w:val="num" w:pos="1272"/>
        </w:tabs>
        <w:ind w:left="1272" w:hanging="720"/>
      </w:pPr>
    </w:lvl>
    <w:lvl w:ilvl="3">
      <w:start w:val="1"/>
      <w:numFmt w:val="decimal"/>
      <w:lvlText w:val="%1.%2.%3.%4"/>
      <w:lvlJc w:val="left"/>
      <w:pPr>
        <w:tabs>
          <w:tab w:val="num" w:pos="1908"/>
        </w:tabs>
        <w:ind w:left="1908" w:hanging="1080"/>
      </w:pPr>
    </w:lvl>
    <w:lvl w:ilvl="4">
      <w:start w:val="1"/>
      <w:numFmt w:val="decimal"/>
      <w:lvlText w:val="%1.%2.%3.%4.%5"/>
      <w:lvlJc w:val="left"/>
      <w:pPr>
        <w:tabs>
          <w:tab w:val="num" w:pos="2184"/>
        </w:tabs>
        <w:ind w:left="2184" w:hanging="1080"/>
      </w:pPr>
    </w:lvl>
    <w:lvl w:ilvl="5">
      <w:start w:val="1"/>
      <w:numFmt w:val="decimal"/>
      <w:lvlText w:val="%1.%2.%3.%4.%5.%6"/>
      <w:lvlJc w:val="left"/>
      <w:pPr>
        <w:tabs>
          <w:tab w:val="num" w:pos="2820"/>
        </w:tabs>
        <w:ind w:left="2820" w:hanging="144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732"/>
        </w:tabs>
        <w:ind w:left="3732" w:hanging="1800"/>
      </w:pPr>
    </w:lvl>
    <w:lvl w:ilvl="8">
      <w:start w:val="1"/>
      <w:numFmt w:val="decimal"/>
      <w:lvlText w:val="%1.%2.%3.%4.%5.%6.%7.%8.%9"/>
      <w:lvlJc w:val="left"/>
      <w:pPr>
        <w:tabs>
          <w:tab w:val="num" w:pos="4008"/>
        </w:tabs>
        <w:ind w:left="4008" w:hanging="1800"/>
      </w:pPr>
    </w:lvl>
  </w:abstractNum>
  <w:abstractNum w:abstractNumId="2">
    <w:nsid w:val="0E2F5A8A"/>
    <w:multiLevelType w:val="hybridMultilevel"/>
    <w:tmpl w:val="65D2B6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16FDC"/>
    <w:multiLevelType w:val="hybridMultilevel"/>
    <w:tmpl w:val="2F60BD8E"/>
    <w:lvl w:ilvl="0" w:tplc="080A000D">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
    <w:nsid w:val="11B75C67"/>
    <w:multiLevelType w:val="hybridMultilevel"/>
    <w:tmpl w:val="69D0C586"/>
    <w:lvl w:ilvl="0" w:tplc="080A0001">
      <w:start w:val="1"/>
      <w:numFmt w:val="bullet"/>
      <w:lvlText w:val=""/>
      <w:lvlJc w:val="left"/>
      <w:pPr>
        <w:ind w:left="2061" w:hanging="360"/>
      </w:pPr>
      <w:rPr>
        <w:rFonts w:ascii="Symbol" w:hAnsi="Symbol" w:hint="default"/>
      </w:rPr>
    </w:lvl>
    <w:lvl w:ilvl="1" w:tplc="080A0003" w:tentative="1">
      <w:start w:val="1"/>
      <w:numFmt w:val="bullet"/>
      <w:lvlText w:val="o"/>
      <w:lvlJc w:val="left"/>
      <w:pPr>
        <w:ind w:left="2781" w:hanging="360"/>
      </w:pPr>
      <w:rPr>
        <w:rFonts w:ascii="Courier New" w:hAnsi="Courier New" w:cs="Courier New" w:hint="default"/>
      </w:rPr>
    </w:lvl>
    <w:lvl w:ilvl="2" w:tplc="080A0005" w:tentative="1">
      <w:start w:val="1"/>
      <w:numFmt w:val="bullet"/>
      <w:lvlText w:val=""/>
      <w:lvlJc w:val="left"/>
      <w:pPr>
        <w:ind w:left="3501" w:hanging="360"/>
      </w:pPr>
      <w:rPr>
        <w:rFonts w:ascii="Wingdings" w:hAnsi="Wingdings" w:hint="default"/>
      </w:rPr>
    </w:lvl>
    <w:lvl w:ilvl="3" w:tplc="080A0001" w:tentative="1">
      <w:start w:val="1"/>
      <w:numFmt w:val="bullet"/>
      <w:lvlText w:val=""/>
      <w:lvlJc w:val="left"/>
      <w:pPr>
        <w:ind w:left="4221" w:hanging="360"/>
      </w:pPr>
      <w:rPr>
        <w:rFonts w:ascii="Symbol" w:hAnsi="Symbol" w:hint="default"/>
      </w:rPr>
    </w:lvl>
    <w:lvl w:ilvl="4" w:tplc="080A0003" w:tentative="1">
      <w:start w:val="1"/>
      <w:numFmt w:val="bullet"/>
      <w:lvlText w:val="o"/>
      <w:lvlJc w:val="left"/>
      <w:pPr>
        <w:ind w:left="4941" w:hanging="360"/>
      </w:pPr>
      <w:rPr>
        <w:rFonts w:ascii="Courier New" w:hAnsi="Courier New" w:cs="Courier New" w:hint="default"/>
      </w:rPr>
    </w:lvl>
    <w:lvl w:ilvl="5" w:tplc="080A0005" w:tentative="1">
      <w:start w:val="1"/>
      <w:numFmt w:val="bullet"/>
      <w:lvlText w:val=""/>
      <w:lvlJc w:val="left"/>
      <w:pPr>
        <w:ind w:left="5661" w:hanging="360"/>
      </w:pPr>
      <w:rPr>
        <w:rFonts w:ascii="Wingdings" w:hAnsi="Wingdings" w:hint="default"/>
      </w:rPr>
    </w:lvl>
    <w:lvl w:ilvl="6" w:tplc="080A0001" w:tentative="1">
      <w:start w:val="1"/>
      <w:numFmt w:val="bullet"/>
      <w:lvlText w:val=""/>
      <w:lvlJc w:val="left"/>
      <w:pPr>
        <w:ind w:left="6381" w:hanging="360"/>
      </w:pPr>
      <w:rPr>
        <w:rFonts w:ascii="Symbol" w:hAnsi="Symbol" w:hint="default"/>
      </w:rPr>
    </w:lvl>
    <w:lvl w:ilvl="7" w:tplc="080A0003" w:tentative="1">
      <w:start w:val="1"/>
      <w:numFmt w:val="bullet"/>
      <w:lvlText w:val="o"/>
      <w:lvlJc w:val="left"/>
      <w:pPr>
        <w:ind w:left="7101" w:hanging="360"/>
      </w:pPr>
      <w:rPr>
        <w:rFonts w:ascii="Courier New" w:hAnsi="Courier New" w:cs="Courier New" w:hint="default"/>
      </w:rPr>
    </w:lvl>
    <w:lvl w:ilvl="8" w:tplc="080A0005" w:tentative="1">
      <w:start w:val="1"/>
      <w:numFmt w:val="bullet"/>
      <w:lvlText w:val=""/>
      <w:lvlJc w:val="left"/>
      <w:pPr>
        <w:ind w:left="7821" w:hanging="360"/>
      </w:pPr>
      <w:rPr>
        <w:rFonts w:ascii="Wingdings" w:hAnsi="Wingdings" w:hint="default"/>
      </w:rPr>
    </w:lvl>
  </w:abstractNum>
  <w:abstractNum w:abstractNumId="5">
    <w:nsid w:val="14117C1E"/>
    <w:multiLevelType w:val="hybridMultilevel"/>
    <w:tmpl w:val="B76E93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0C387A"/>
    <w:multiLevelType w:val="hybridMultilevel"/>
    <w:tmpl w:val="2C2AD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7C132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8">
    <w:nsid w:val="18A515E5"/>
    <w:multiLevelType w:val="hybridMultilevel"/>
    <w:tmpl w:val="2BFCC2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9E22F33"/>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300C99"/>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DBE2E42"/>
    <w:multiLevelType w:val="hybridMultilevel"/>
    <w:tmpl w:val="CC845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058105A"/>
    <w:multiLevelType w:val="hybridMultilevel"/>
    <w:tmpl w:val="8634F7CE"/>
    <w:lvl w:ilvl="0" w:tplc="4F7A5548">
      <w:start w:val="1"/>
      <w:numFmt w:val="decimal"/>
      <w:lvlText w:val="%1."/>
      <w:lvlJc w:val="left"/>
      <w:pPr>
        <w:ind w:left="1080" w:hanging="360"/>
      </w:pPr>
      <w:rPr>
        <w:b w:val="0"/>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20E10C9D"/>
    <w:multiLevelType w:val="hybridMultilevel"/>
    <w:tmpl w:val="26F01492"/>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495ED8"/>
    <w:multiLevelType w:val="hybridMultilevel"/>
    <w:tmpl w:val="ACE09A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5503637"/>
    <w:multiLevelType w:val="hybridMultilevel"/>
    <w:tmpl w:val="11C4EF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6F33DC"/>
    <w:multiLevelType w:val="hybridMultilevel"/>
    <w:tmpl w:val="589A70B4"/>
    <w:lvl w:ilvl="0" w:tplc="8A963F7E">
      <w:start w:val="1"/>
      <w:numFmt w:val="bullet"/>
      <w:lvlText w:val=""/>
      <w:lvlJc w:val="left"/>
      <w:pPr>
        <w:tabs>
          <w:tab w:val="num" w:pos="720"/>
        </w:tabs>
        <w:ind w:left="720" w:hanging="360"/>
      </w:pPr>
      <w:rPr>
        <w:rFonts w:ascii="Wingdings" w:hAnsi="Wingdings" w:hint="default"/>
        <w:color w:val="80800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6452756"/>
    <w:multiLevelType w:val="multilevel"/>
    <w:tmpl w:val="A2B2341A"/>
    <w:lvl w:ilvl="0">
      <w:start w:val="1"/>
      <w:numFmt w:val="decimal"/>
      <w:lvlText w:val="%1."/>
      <w:lvlJc w:val="left"/>
      <w:pPr>
        <w:tabs>
          <w:tab w:val="num" w:pos="720"/>
        </w:tabs>
        <w:ind w:left="720" w:hanging="360"/>
      </w:pPr>
    </w:lvl>
    <w:lvl w:ilvl="1">
      <w:start w:val="3"/>
      <w:numFmt w:val="decimal"/>
      <w:isLgl/>
      <w:lvlText w:val="%1.%2."/>
      <w:lvlJc w:val="left"/>
      <w:pPr>
        <w:ind w:left="139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abstractNum w:abstractNumId="18">
    <w:nsid w:val="37A57A80"/>
    <w:multiLevelType w:val="hybridMultilevel"/>
    <w:tmpl w:val="1D162B3C"/>
    <w:lvl w:ilvl="0" w:tplc="F55A2D7A">
      <w:start w:val="1"/>
      <w:numFmt w:val="upperLetter"/>
      <w:lvlText w:val="%1."/>
      <w:lvlJc w:val="left"/>
      <w:pPr>
        <w:ind w:left="825" w:hanging="360"/>
      </w:pPr>
      <w:rPr>
        <w:rFonts w:hint="default"/>
      </w:rPr>
    </w:lvl>
    <w:lvl w:ilvl="1" w:tplc="080A0019">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9">
    <w:nsid w:val="3894364A"/>
    <w:multiLevelType w:val="hybridMultilevel"/>
    <w:tmpl w:val="2CCCF3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EB099F"/>
    <w:multiLevelType w:val="hybridMultilevel"/>
    <w:tmpl w:val="91CE05E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C345BC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22">
    <w:nsid w:val="3D9D017F"/>
    <w:multiLevelType w:val="hybridMultilevel"/>
    <w:tmpl w:val="2F2C00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EF332C"/>
    <w:multiLevelType w:val="hybridMultilevel"/>
    <w:tmpl w:val="D6BC7198"/>
    <w:lvl w:ilvl="0" w:tplc="FFFFFFFF">
      <w:start w:val="1"/>
      <w:numFmt w:val="bullet"/>
      <w:lvlText w:val=""/>
      <w:lvlJc w:val="left"/>
      <w:pPr>
        <w:tabs>
          <w:tab w:val="num" w:pos="2088"/>
        </w:tabs>
        <w:ind w:left="2088" w:hanging="360"/>
      </w:pPr>
      <w:rPr>
        <w:rFonts w:ascii="Symbol" w:hAnsi="Symbol" w:hint="default"/>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48DF66AB"/>
    <w:multiLevelType w:val="hybridMultilevel"/>
    <w:tmpl w:val="3B28E072"/>
    <w:lvl w:ilvl="0" w:tplc="080A0001">
      <w:start w:val="1"/>
      <w:numFmt w:val="bullet"/>
      <w:lvlText w:val=""/>
      <w:lvlJc w:val="left"/>
      <w:pPr>
        <w:ind w:left="2304" w:hanging="360"/>
      </w:pPr>
      <w:rPr>
        <w:rFonts w:ascii="Symbol" w:hAnsi="Symbol" w:hint="default"/>
      </w:rPr>
    </w:lvl>
    <w:lvl w:ilvl="1" w:tplc="080A0003" w:tentative="1">
      <w:start w:val="1"/>
      <w:numFmt w:val="bullet"/>
      <w:lvlText w:val="o"/>
      <w:lvlJc w:val="left"/>
      <w:pPr>
        <w:ind w:left="3024" w:hanging="360"/>
      </w:pPr>
      <w:rPr>
        <w:rFonts w:ascii="Courier New" w:hAnsi="Courier New" w:cs="Courier New" w:hint="default"/>
      </w:rPr>
    </w:lvl>
    <w:lvl w:ilvl="2" w:tplc="080A0005" w:tentative="1">
      <w:start w:val="1"/>
      <w:numFmt w:val="bullet"/>
      <w:lvlText w:val=""/>
      <w:lvlJc w:val="left"/>
      <w:pPr>
        <w:ind w:left="3744" w:hanging="360"/>
      </w:pPr>
      <w:rPr>
        <w:rFonts w:ascii="Wingdings" w:hAnsi="Wingdings" w:hint="default"/>
      </w:rPr>
    </w:lvl>
    <w:lvl w:ilvl="3" w:tplc="080A0001" w:tentative="1">
      <w:start w:val="1"/>
      <w:numFmt w:val="bullet"/>
      <w:lvlText w:val=""/>
      <w:lvlJc w:val="left"/>
      <w:pPr>
        <w:ind w:left="4464" w:hanging="360"/>
      </w:pPr>
      <w:rPr>
        <w:rFonts w:ascii="Symbol" w:hAnsi="Symbol" w:hint="default"/>
      </w:rPr>
    </w:lvl>
    <w:lvl w:ilvl="4" w:tplc="080A0003" w:tentative="1">
      <w:start w:val="1"/>
      <w:numFmt w:val="bullet"/>
      <w:lvlText w:val="o"/>
      <w:lvlJc w:val="left"/>
      <w:pPr>
        <w:ind w:left="5184" w:hanging="360"/>
      </w:pPr>
      <w:rPr>
        <w:rFonts w:ascii="Courier New" w:hAnsi="Courier New" w:cs="Courier New" w:hint="default"/>
      </w:rPr>
    </w:lvl>
    <w:lvl w:ilvl="5" w:tplc="080A0005" w:tentative="1">
      <w:start w:val="1"/>
      <w:numFmt w:val="bullet"/>
      <w:lvlText w:val=""/>
      <w:lvlJc w:val="left"/>
      <w:pPr>
        <w:ind w:left="5904" w:hanging="360"/>
      </w:pPr>
      <w:rPr>
        <w:rFonts w:ascii="Wingdings" w:hAnsi="Wingdings" w:hint="default"/>
      </w:rPr>
    </w:lvl>
    <w:lvl w:ilvl="6" w:tplc="080A0001" w:tentative="1">
      <w:start w:val="1"/>
      <w:numFmt w:val="bullet"/>
      <w:lvlText w:val=""/>
      <w:lvlJc w:val="left"/>
      <w:pPr>
        <w:ind w:left="6624" w:hanging="360"/>
      </w:pPr>
      <w:rPr>
        <w:rFonts w:ascii="Symbol" w:hAnsi="Symbol" w:hint="default"/>
      </w:rPr>
    </w:lvl>
    <w:lvl w:ilvl="7" w:tplc="080A0003" w:tentative="1">
      <w:start w:val="1"/>
      <w:numFmt w:val="bullet"/>
      <w:lvlText w:val="o"/>
      <w:lvlJc w:val="left"/>
      <w:pPr>
        <w:ind w:left="7344" w:hanging="360"/>
      </w:pPr>
      <w:rPr>
        <w:rFonts w:ascii="Courier New" w:hAnsi="Courier New" w:cs="Courier New" w:hint="default"/>
      </w:rPr>
    </w:lvl>
    <w:lvl w:ilvl="8" w:tplc="080A0005" w:tentative="1">
      <w:start w:val="1"/>
      <w:numFmt w:val="bullet"/>
      <w:lvlText w:val=""/>
      <w:lvlJc w:val="left"/>
      <w:pPr>
        <w:ind w:left="8064" w:hanging="360"/>
      </w:pPr>
      <w:rPr>
        <w:rFonts w:ascii="Wingdings" w:hAnsi="Wingdings" w:hint="default"/>
      </w:rPr>
    </w:lvl>
  </w:abstractNum>
  <w:abstractNum w:abstractNumId="25">
    <w:nsid w:val="49F03D7B"/>
    <w:multiLevelType w:val="hybridMultilevel"/>
    <w:tmpl w:val="E76821A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C958C5"/>
    <w:multiLevelType w:val="hybridMultilevel"/>
    <w:tmpl w:val="AC442D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CC6056E"/>
    <w:multiLevelType w:val="hybridMultilevel"/>
    <w:tmpl w:val="1D7C91EC"/>
    <w:lvl w:ilvl="0" w:tplc="22C8BC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D242F11"/>
    <w:multiLevelType w:val="hybridMultilevel"/>
    <w:tmpl w:val="D47085E0"/>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052E3F"/>
    <w:multiLevelType w:val="hybridMultilevel"/>
    <w:tmpl w:val="C756B6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5AF6562"/>
    <w:multiLevelType w:val="hybridMultilevel"/>
    <w:tmpl w:val="677EE2DC"/>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F17AAD"/>
    <w:multiLevelType w:val="hybridMultilevel"/>
    <w:tmpl w:val="10F4BD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CF446E4"/>
    <w:multiLevelType w:val="hybridMultilevel"/>
    <w:tmpl w:val="9DDEB6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70C00B6"/>
    <w:multiLevelType w:val="hybridMultilevel"/>
    <w:tmpl w:val="89946C92"/>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BC25174"/>
    <w:multiLevelType w:val="hybridMultilevel"/>
    <w:tmpl w:val="29AE3D4A"/>
    <w:lvl w:ilvl="0" w:tplc="B73E55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2F6289A"/>
    <w:multiLevelType w:val="hybridMultilevel"/>
    <w:tmpl w:val="BFFA7E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30B2B53"/>
    <w:multiLevelType w:val="hybridMultilevel"/>
    <w:tmpl w:val="81FC23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D45CC0"/>
    <w:multiLevelType w:val="hybridMultilevel"/>
    <w:tmpl w:val="160E83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7857C14"/>
    <w:multiLevelType w:val="hybridMultilevel"/>
    <w:tmpl w:val="D4A08436"/>
    <w:lvl w:ilvl="0" w:tplc="080A0001">
      <w:start w:val="1"/>
      <w:numFmt w:val="bullet"/>
      <w:lvlText w:val=""/>
      <w:lvlJc w:val="left"/>
      <w:pPr>
        <w:ind w:left="1710" w:hanging="360"/>
      </w:pPr>
      <w:rPr>
        <w:rFonts w:ascii="Symbol" w:hAnsi="Symbol" w:hint="default"/>
      </w:rPr>
    </w:lvl>
    <w:lvl w:ilvl="1" w:tplc="A72E0648">
      <w:numFmt w:val="bullet"/>
      <w:lvlText w:val="-"/>
      <w:lvlJc w:val="left"/>
      <w:pPr>
        <w:ind w:left="2430" w:hanging="360"/>
      </w:pPr>
      <w:rPr>
        <w:rFonts w:ascii="Arial" w:eastAsia="Times New Roman" w:hAnsi="Arial" w:cs="Arial" w:hint="default"/>
      </w:rPr>
    </w:lvl>
    <w:lvl w:ilvl="2" w:tplc="080A0005" w:tentative="1">
      <w:start w:val="1"/>
      <w:numFmt w:val="bullet"/>
      <w:lvlText w:val=""/>
      <w:lvlJc w:val="left"/>
      <w:pPr>
        <w:ind w:left="3150" w:hanging="360"/>
      </w:pPr>
      <w:rPr>
        <w:rFonts w:ascii="Wingdings" w:hAnsi="Wingdings" w:hint="default"/>
      </w:rPr>
    </w:lvl>
    <w:lvl w:ilvl="3" w:tplc="080A0001" w:tentative="1">
      <w:start w:val="1"/>
      <w:numFmt w:val="bullet"/>
      <w:lvlText w:val=""/>
      <w:lvlJc w:val="left"/>
      <w:pPr>
        <w:ind w:left="3870" w:hanging="360"/>
      </w:pPr>
      <w:rPr>
        <w:rFonts w:ascii="Symbol" w:hAnsi="Symbol" w:hint="default"/>
      </w:rPr>
    </w:lvl>
    <w:lvl w:ilvl="4" w:tplc="080A0003" w:tentative="1">
      <w:start w:val="1"/>
      <w:numFmt w:val="bullet"/>
      <w:lvlText w:val="o"/>
      <w:lvlJc w:val="left"/>
      <w:pPr>
        <w:ind w:left="4590" w:hanging="360"/>
      </w:pPr>
      <w:rPr>
        <w:rFonts w:ascii="Courier New" w:hAnsi="Courier New" w:cs="Courier New" w:hint="default"/>
      </w:rPr>
    </w:lvl>
    <w:lvl w:ilvl="5" w:tplc="080A0005" w:tentative="1">
      <w:start w:val="1"/>
      <w:numFmt w:val="bullet"/>
      <w:lvlText w:val=""/>
      <w:lvlJc w:val="left"/>
      <w:pPr>
        <w:ind w:left="5310" w:hanging="360"/>
      </w:pPr>
      <w:rPr>
        <w:rFonts w:ascii="Wingdings" w:hAnsi="Wingdings" w:hint="default"/>
      </w:rPr>
    </w:lvl>
    <w:lvl w:ilvl="6" w:tplc="080A0001" w:tentative="1">
      <w:start w:val="1"/>
      <w:numFmt w:val="bullet"/>
      <w:lvlText w:val=""/>
      <w:lvlJc w:val="left"/>
      <w:pPr>
        <w:ind w:left="6030" w:hanging="360"/>
      </w:pPr>
      <w:rPr>
        <w:rFonts w:ascii="Symbol" w:hAnsi="Symbol" w:hint="default"/>
      </w:rPr>
    </w:lvl>
    <w:lvl w:ilvl="7" w:tplc="080A0003" w:tentative="1">
      <w:start w:val="1"/>
      <w:numFmt w:val="bullet"/>
      <w:lvlText w:val="o"/>
      <w:lvlJc w:val="left"/>
      <w:pPr>
        <w:ind w:left="6750" w:hanging="360"/>
      </w:pPr>
      <w:rPr>
        <w:rFonts w:ascii="Courier New" w:hAnsi="Courier New" w:cs="Courier New" w:hint="default"/>
      </w:rPr>
    </w:lvl>
    <w:lvl w:ilvl="8" w:tplc="080A0005" w:tentative="1">
      <w:start w:val="1"/>
      <w:numFmt w:val="bullet"/>
      <w:lvlText w:val=""/>
      <w:lvlJc w:val="left"/>
      <w:pPr>
        <w:ind w:left="7470" w:hanging="360"/>
      </w:pPr>
      <w:rPr>
        <w:rFonts w:ascii="Wingdings" w:hAnsi="Wingdings" w:hint="default"/>
      </w:rPr>
    </w:lvl>
  </w:abstractNum>
  <w:abstractNum w:abstractNumId="40">
    <w:nsid w:val="77D215F5"/>
    <w:multiLevelType w:val="hybridMultilevel"/>
    <w:tmpl w:val="13168240"/>
    <w:lvl w:ilvl="0" w:tplc="080A0001">
      <w:start w:val="1"/>
      <w:numFmt w:val="bullet"/>
      <w:lvlText w:val=""/>
      <w:lvlJc w:val="left"/>
      <w:pPr>
        <w:ind w:left="2061" w:hanging="360"/>
      </w:pPr>
      <w:rPr>
        <w:rFonts w:ascii="Symbol" w:hAnsi="Symbol" w:hint="default"/>
      </w:rPr>
    </w:lvl>
    <w:lvl w:ilvl="1" w:tplc="080A0003">
      <w:start w:val="1"/>
      <w:numFmt w:val="bullet"/>
      <w:lvlText w:val="o"/>
      <w:lvlJc w:val="left"/>
      <w:pPr>
        <w:ind w:left="2781" w:hanging="360"/>
      </w:pPr>
      <w:rPr>
        <w:rFonts w:ascii="Courier New" w:hAnsi="Courier New" w:cs="Courier New" w:hint="default"/>
      </w:rPr>
    </w:lvl>
    <w:lvl w:ilvl="2" w:tplc="080A0005" w:tentative="1">
      <w:start w:val="1"/>
      <w:numFmt w:val="bullet"/>
      <w:lvlText w:val=""/>
      <w:lvlJc w:val="left"/>
      <w:pPr>
        <w:ind w:left="3501" w:hanging="360"/>
      </w:pPr>
      <w:rPr>
        <w:rFonts w:ascii="Wingdings" w:hAnsi="Wingdings" w:hint="default"/>
      </w:rPr>
    </w:lvl>
    <w:lvl w:ilvl="3" w:tplc="080A0001" w:tentative="1">
      <w:start w:val="1"/>
      <w:numFmt w:val="bullet"/>
      <w:lvlText w:val=""/>
      <w:lvlJc w:val="left"/>
      <w:pPr>
        <w:ind w:left="4221" w:hanging="360"/>
      </w:pPr>
      <w:rPr>
        <w:rFonts w:ascii="Symbol" w:hAnsi="Symbol" w:hint="default"/>
      </w:rPr>
    </w:lvl>
    <w:lvl w:ilvl="4" w:tplc="080A0003" w:tentative="1">
      <w:start w:val="1"/>
      <w:numFmt w:val="bullet"/>
      <w:lvlText w:val="o"/>
      <w:lvlJc w:val="left"/>
      <w:pPr>
        <w:ind w:left="4941" w:hanging="360"/>
      </w:pPr>
      <w:rPr>
        <w:rFonts w:ascii="Courier New" w:hAnsi="Courier New" w:cs="Courier New" w:hint="default"/>
      </w:rPr>
    </w:lvl>
    <w:lvl w:ilvl="5" w:tplc="080A0005" w:tentative="1">
      <w:start w:val="1"/>
      <w:numFmt w:val="bullet"/>
      <w:lvlText w:val=""/>
      <w:lvlJc w:val="left"/>
      <w:pPr>
        <w:ind w:left="5661" w:hanging="360"/>
      </w:pPr>
      <w:rPr>
        <w:rFonts w:ascii="Wingdings" w:hAnsi="Wingdings" w:hint="default"/>
      </w:rPr>
    </w:lvl>
    <w:lvl w:ilvl="6" w:tplc="080A0001" w:tentative="1">
      <w:start w:val="1"/>
      <w:numFmt w:val="bullet"/>
      <w:lvlText w:val=""/>
      <w:lvlJc w:val="left"/>
      <w:pPr>
        <w:ind w:left="6381" w:hanging="360"/>
      </w:pPr>
      <w:rPr>
        <w:rFonts w:ascii="Symbol" w:hAnsi="Symbol" w:hint="default"/>
      </w:rPr>
    </w:lvl>
    <w:lvl w:ilvl="7" w:tplc="080A0003" w:tentative="1">
      <w:start w:val="1"/>
      <w:numFmt w:val="bullet"/>
      <w:lvlText w:val="o"/>
      <w:lvlJc w:val="left"/>
      <w:pPr>
        <w:ind w:left="7101" w:hanging="360"/>
      </w:pPr>
      <w:rPr>
        <w:rFonts w:ascii="Courier New" w:hAnsi="Courier New" w:cs="Courier New" w:hint="default"/>
      </w:rPr>
    </w:lvl>
    <w:lvl w:ilvl="8" w:tplc="080A0005" w:tentative="1">
      <w:start w:val="1"/>
      <w:numFmt w:val="bullet"/>
      <w:lvlText w:val=""/>
      <w:lvlJc w:val="left"/>
      <w:pPr>
        <w:ind w:left="7821" w:hanging="360"/>
      </w:pPr>
      <w:rPr>
        <w:rFonts w:ascii="Wingdings" w:hAnsi="Wingdings" w:hint="default"/>
      </w:rPr>
    </w:lvl>
  </w:abstractNum>
  <w:abstractNum w:abstractNumId="41">
    <w:nsid w:val="78F51358"/>
    <w:multiLevelType w:val="hybridMultilevel"/>
    <w:tmpl w:val="772A0BF8"/>
    <w:lvl w:ilvl="0" w:tplc="A9F48474">
      <w:start w:val="1"/>
      <w:numFmt w:val="bullet"/>
      <w:lvlText w:val=""/>
      <w:lvlJc w:val="left"/>
      <w:pPr>
        <w:tabs>
          <w:tab w:val="num" w:pos="2088"/>
        </w:tabs>
        <w:ind w:left="2088" w:hanging="360"/>
      </w:pPr>
      <w:rPr>
        <w:rFonts w:ascii="Symbol" w:hAnsi="Symbol" w:hint="default"/>
        <w:sz w:val="18"/>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795866DD"/>
    <w:multiLevelType w:val="hybridMultilevel"/>
    <w:tmpl w:val="DF542812"/>
    <w:lvl w:ilvl="0" w:tplc="FBF0F45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nsid w:val="7AA563ED"/>
    <w:multiLevelType w:val="hybridMultilevel"/>
    <w:tmpl w:val="11900B4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6"/>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0"/>
  </w:num>
  <w:num w:numId="8">
    <w:abstractNumId w:val="21"/>
  </w:num>
  <w:num w:numId="9">
    <w:abstractNumId w:val="2"/>
  </w:num>
  <w:num w:numId="1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7"/>
  </w:num>
  <w:num w:numId="13">
    <w:abstractNumId w:val="37"/>
  </w:num>
  <w:num w:numId="14">
    <w:abstractNumId w:val="29"/>
  </w:num>
  <w:num w:numId="15">
    <w:abstractNumId w:val="11"/>
  </w:num>
  <w:num w:numId="16">
    <w:abstractNumId w:val="36"/>
  </w:num>
  <w:num w:numId="17">
    <w:abstractNumId w:val="8"/>
  </w:num>
  <w:num w:numId="18">
    <w:abstractNumId w:val="26"/>
  </w:num>
  <w:num w:numId="19">
    <w:abstractNumId w:val="20"/>
  </w:num>
  <w:num w:numId="20">
    <w:abstractNumId w:val="32"/>
  </w:num>
  <w:num w:numId="21">
    <w:abstractNumId w:val="17"/>
  </w:num>
  <w:num w:numId="22">
    <w:abstractNumId w:val="5"/>
  </w:num>
  <w:num w:numId="23">
    <w:abstractNumId w:val="14"/>
  </w:num>
  <w:num w:numId="24">
    <w:abstractNumId w:val="38"/>
  </w:num>
  <w:num w:numId="25">
    <w:abstractNumId w:val="31"/>
  </w:num>
  <w:num w:numId="26">
    <w:abstractNumId w:val="33"/>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30"/>
  </w:num>
  <w:num w:numId="32">
    <w:abstractNumId w:val="13"/>
  </w:num>
  <w:num w:numId="33">
    <w:abstractNumId w:val="25"/>
  </w:num>
  <w:num w:numId="34">
    <w:abstractNumId w:val="28"/>
  </w:num>
  <w:num w:numId="35">
    <w:abstractNumId w:val="43"/>
  </w:num>
  <w:num w:numId="36">
    <w:abstractNumId w:val="19"/>
  </w:num>
  <w:num w:numId="37">
    <w:abstractNumId w:val="18"/>
  </w:num>
  <w:num w:numId="38">
    <w:abstractNumId w:val="42"/>
  </w:num>
  <w:num w:numId="39">
    <w:abstractNumId w:val="22"/>
  </w:num>
  <w:num w:numId="40">
    <w:abstractNumId w:val="39"/>
  </w:num>
  <w:num w:numId="41">
    <w:abstractNumId w:val="24"/>
  </w:num>
  <w:num w:numId="42">
    <w:abstractNumId w:val="40"/>
  </w:num>
  <w:num w:numId="43">
    <w:abstractNumId w:val="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C"/>
    <w:rsid w:val="000133FC"/>
    <w:rsid w:val="00014066"/>
    <w:rsid w:val="00024719"/>
    <w:rsid w:val="00030A6B"/>
    <w:rsid w:val="000A39AC"/>
    <w:rsid w:val="000A44EB"/>
    <w:rsid w:val="000C17A5"/>
    <w:rsid w:val="000C22EF"/>
    <w:rsid w:val="000C70A5"/>
    <w:rsid w:val="000D6C2D"/>
    <w:rsid w:val="000E2452"/>
    <w:rsid w:val="000E5A8A"/>
    <w:rsid w:val="0010726F"/>
    <w:rsid w:val="0011116D"/>
    <w:rsid w:val="001114C3"/>
    <w:rsid w:val="00160AFA"/>
    <w:rsid w:val="00171EF4"/>
    <w:rsid w:val="0018311D"/>
    <w:rsid w:val="001B213D"/>
    <w:rsid w:val="001B28CA"/>
    <w:rsid w:val="001C2833"/>
    <w:rsid w:val="001C49E8"/>
    <w:rsid w:val="001C7CF9"/>
    <w:rsid w:val="002472B1"/>
    <w:rsid w:val="00247994"/>
    <w:rsid w:val="00256156"/>
    <w:rsid w:val="00260BE7"/>
    <w:rsid w:val="00277294"/>
    <w:rsid w:val="002A2B8E"/>
    <w:rsid w:val="002A4B8F"/>
    <w:rsid w:val="002C7153"/>
    <w:rsid w:val="002D6459"/>
    <w:rsid w:val="002E2FEC"/>
    <w:rsid w:val="00335ADD"/>
    <w:rsid w:val="0034216B"/>
    <w:rsid w:val="0035018D"/>
    <w:rsid w:val="003711D6"/>
    <w:rsid w:val="0037476E"/>
    <w:rsid w:val="0038190C"/>
    <w:rsid w:val="00383B4A"/>
    <w:rsid w:val="003B761F"/>
    <w:rsid w:val="003D3DE3"/>
    <w:rsid w:val="003D4494"/>
    <w:rsid w:val="004161CC"/>
    <w:rsid w:val="00422E36"/>
    <w:rsid w:val="00424251"/>
    <w:rsid w:val="00426C17"/>
    <w:rsid w:val="00433D28"/>
    <w:rsid w:val="004461FD"/>
    <w:rsid w:val="00446CBC"/>
    <w:rsid w:val="004B18FB"/>
    <w:rsid w:val="004C421F"/>
    <w:rsid w:val="004D1894"/>
    <w:rsid w:val="004D658C"/>
    <w:rsid w:val="004F3733"/>
    <w:rsid w:val="004F7D7A"/>
    <w:rsid w:val="005247C2"/>
    <w:rsid w:val="00525A11"/>
    <w:rsid w:val="00552664"/>
    <w:rsid w:val="005A0CB4"/>
    <w:rsid w:val="005E10C3"/>
    <w:rsid w:val="005E331F"/>
    <w:rsid w:val="005F6E91"/>
    <w:rsid w:val="006103D7"/>
    <w:rsid w:val="00621CE8"/>
    <w:rsid w:val="00621DE6"/>
    <w:rsid w:val="00622403"/>
    <w:rsid w:val="006401B4"/>
    <w:rsid w:val="00643BA9"/>
    <w:rsid w:val="0065029A"/>
    <w:rsid w:val="00662AB2"/>
    <w:rsid w:val="0066775B"/>
    <w:rsid w:val="00697268"/>
    <w:rsid w:val="006B1A87"/>
    <w:rsid w:val="006C77D1"/>
    <w:rsid w:val="006C7E6D"/>
    <w:rsid w:val="006E6C5B"/>
    <w:rsid w:val="006F054A"/>
    <w:rsid w:val="00703E55"/>
    <w:rsid w:val="007338DF"/>
    <w:rsid w:val="007557DC"/>
    <w:rsid w:val="007652DF"/>
    <w:rsid w:val="0076779E"/>
    <w:rsid w:val="007A41ED"/>
    <w:rsid w:val="007A5DCE"/>
    <w:rsid w:val="007C3E91"/>
    <w:rsid w:val="007E072A"/>
    <w:rsid w:val="00803517"/>
    <w:rsid w:val="00822FC4"/>
    <w:rsid w:val="00830631"/>
    <w:rsid w:val="00845A36"/>
    <w:rsid w:val="0084626A"/>
    <w:rsid w:val="008462C9"/>
    <w:rsid w:val="00852A62"/>
    <w:rsid w:val="008540FB"/>
    <w:rsid w:val="008630D9"/>
    <w:rsid w:val="00864419"/>
    <w:rsid w:val="00867272"/>
    <w:rsid w:val="008926AF"/>
    <w:rsid w:val="008A07E7"/>
    <w:rsid w:val="008A1BE2"/>
    <w:rsid w:val="008D0975"/>
    <w:rsid w:val="008D4414"/>
    <w:rsid w:val="008E2BE0"/>
    <w:rsid w:val="008F01F0"/>
    <w:rsid w:val="00915576"/>
    <w:rsid w:val="00942695"/>
    <w:rsid w:val="00953A18"/>
    <w:rsid w:val="00971B54"/>
    <w:rsid w:val="00976FD3"/>
    <w:rsid w:val="00984175"/>
    <w:rsid w:val="00985FCE"/>
    <w:rsid w:val="009B37E3"/>
    <w:rsid w:val="009C37B1"/>
    <w:rsid w:val="009C4C4B"/>
    <w:rsid w:val="009D278D"/>
    <w:rsid w:val="009D58B2"/>
    <w:rsid w:val="00A05A38"/>
    <w:rsid w:val="00A21B21"/>
    <w:rsid w:val="00A3189B"/>
    <w:rsid w:val="00A56AC2"/>
    <w:rsid w:val="00A62B69"/>
    <w:rsid w:val="00A73C1B"/>
    <w:rsid w:val="00A807AB"/>
    <w:rsid w:val="00AA1C8C"/>
    <w:rsid w:val="00AA67E9"/>
    <w:rsid w:val="00AB5F01"/>
    <w:rsid w:val="00AB7C6E"/>
    <w:rsid w:val="00AD238B"/>
    <w:rsid w:val="00AD7C71"/>
    <w:rsid w:val="00AF4767"/>
    <w:rsid w:val="00AF5E88"/>
    <w:rsid w:val="00B50A97"/>
    <w:rsid w:val="00B5310A"/>
    <w:rsid w:val="00B57FCC"/>
    <w:rsid w:val="00BC6025"/>
    <w:rsid w:val="00C12B0E"/>
    <w:rsid w:val="00C13F93"/>
    <w:rsid w:val="00C2160E"/>
    <w:rsid w:val="00C63C3C"/>
    <w:rsid w:val="00C853E2"/>
    <w:rsid w:val="00C977E7"/>
    <w:rsid w:val="00CA3D17"/>
    <w:rsid w:val="00CB1CAE"/>
    <w:rsid w:val="00CB37E8"/>
    <w:rsid w:val="00CC79A3"/>
    <w:rsid w:val="00CE4A89"/>
    <w:rsid w:val="00D1619F"/>
    <w:rsid w:val="00D21E35"/>
    <w:rsid w:val="00D422D1"/>
    <w:rsid w:val="00D43606"/>
    <w:rsid w:val="00D44D4F"/>
    <w:rsid w:val="00D76B85"/>
    <w:rsid w:val="00D816B5"/>
    <w:rsid w:val="00D8488F"/>
    <w:rsid w:val="00DA0186"/>
    <w:rsid w:val="00DA54C5"/>
    <w:rsid w:val="00DB53D2"/>
    <w:rsid w:val="00DC50F0"/>
    <w:rsid w:val="00DD6A74"/>
    <w:rsid w:val="00DF4E31"/>
    <w:rsid w:val="00DF610D"/>
    <w:rsid w:val="00E17476"/>
    <w:rsid w:val="00E237A1"/>
    <w:rsid w:val="00E242F4"/>
    <w:rsid w:val="00E32601"/>
    <w:rsid w:val="00E434E3"/>
    <w:rsid w:val="00E51254"/>
    <w:rsid w:val="00E67A9D"/>
    <w:rsid w:val="00E73033"/>
    <w:rsid w:val="00E76A0F"/>
    <w:rsid w:val="00E81964"/>
    <w:rsid w:val="00E8680A"/>
    <w:rsid w:val="00EA2201"/>
    <w:rsid w:val="00EA782D"/>
    <w:rsid w:val="00EB6C9D"/>
    <w:rsid w:val="00EC0A2B"/>
    <w:rsid w:val="00F11BB4"/>
    <w:rsid w:val="00F21FAA"/>
    <w:rsid w:val="00F82B5B"/>
    <w:rsid w:val="00FA1D30"/>
    <w:rsid w:val="00FA2CD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uiPriority w:val="9"/>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6"/>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rsid w:val="0084626A"/>
    <w:rPr>
      <w:rFonts w:asciiTheme="majorHAnsi" w:eastAsiaTheme="majorEastAsia" w:hAnsiTheme="majorHAnsi" w:cstheme="majorBidi"/>
      <w:i/>
      <w:iCs/>
      <w:color w:val="404040" w:themeColor="text1" w:themeTint="BF"/>
      <w:sz w:val="20"/>
      <w:szCs w:val="20"/>
      <w:lang w:eastAsia="es-ES"/>
    </w:rPr>
  </w:style>
  <w:style w:type="paragraph" w:styleId="HTMLconformatoprevio">
    <w:name w:val="HTML Preformatted"/>
    <w:basedOn w:val="Normal"/>
    <w:link w:val="HTMLconformatoprevioCar"/>
    <w:uiPriority w:val="99"/>
    <w:semiHidden/>
    <w:unhideWhenUsed/>
    <w:rsid w:val="006B1A87"/>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B1A87"/>
    <w:rPr>
      <w:rFonts w:ascii="Consolas" w:eastAsia="Times New Roman" w:hAnsi="Consolas"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uiPriority w:val="9"/>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6"/>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rsid w:val="0084626A"/>
    <w:rPr>
      <w:rFonts w:asciiTheme="majorHAnsi" w:eastAsiaTheme="majorEastAsia" w:hAnsiTheme="majorHAnsi" w:cstheme="majorBidi"/>
      <w:i/>
      <w:iCs/>
      <w:color w:val="404040" w:themeColor="text1" w:themeTint="BF"/>
      <w:sz w:val="20"/>
      <w:szCs w:val="20"/>
      <w:lang w:eastAsia="es-ES"/>
    </w:rPr>
  </w:style>
  <w:style w:type="paragraph" w:styleId="HTMLconformatoprevio">
    <w:name w:val="HTML Preformatted"/>
    <w:basedOn w:val="Normal"/>
    <w:link w:val="HTMLconformatoprevioCar"/>
    <w:uiPriority w:val="99"/>
    <w:semiHidden/>
    <w:unhideWhenUsed/>
    <w:rsid w:val="006B1A87"/>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B1A87"/>
    <w:rPr>
      <w:rFonts w:ascii="Consolas" w:eastAsia="Times New Roman" w:hAnsi="Consola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1740">
      <w:bodyDiv w:val="1"/>
      <w:marLeft w:val="0"/>
      <w:marRight w:val="0"/>
      <w:marTop w:val="0"/>
      <w:marBottom w:val="0"/>
      <w:divBdr>
        <w:top w:val="none" w:sz="0" w:space="0" w:color="auto"/>
        <w:left w:val="none" w:sz="0" w:space="0" w:color="auto"/>
        <w:bottom w:val="none" w:sz="0" w:space="0" w:color="auto"/>
        <w:right w:val="none" w:sz="0" w:space="0" w:color="auto"/>
      </w:divBdr>
    </w:div>
    <w:div w:id="481384095">
      <w:bodyDiv w:val="1"/>
      <w:marLeft w:val="0"/>
      <w:marRight w:val="0"/>
      <w:marTop w:val="0"/>
      <w:marBottom w:val="0"/>
      <w:divBdr>
        <w:top w:val="none" w:sz="0" w:space="0" w:color="auto"/>
        <w:left w:val="none" w:sz="0" w:space="0" w:color="auto"/>
        <w:bottom w:val="none" w:sz="0" w:space="0" w:color="auto"/>
        <w:right w:val="none" w:sz="0" w:space="0" w:color="auto"/>
      </w:divBdr>
    </w:div>
    <w:div w:id="541475899">
      <w:bodyDiv w:val="1"/>
      <w:marLeft w:val="0"/>
      <w:marRight w:val="0"/>
      <w:marTop w:val="0"/>
      <w:marBottom w:val="0"/>
      <w:divBdr>
        <w:top w:val="none" w:sz="0" w:space="0" w:color="auto"/>
        <w:left w:val="none" w:sz="0" w:space="0" w:color="auto"/>
        <w:bottom w:val="none" w:sz="0" w:space="0" w:color="auto"/>
        <w:right w:val="none" w:sz="0" w:space="0" w:color="auto"/>
      </w:divBdr>
    </w:div>
    <w:div w:id="545680410">
      <w:bodyDiv w:val="1"/>
      <w:marLeft w:val="0"/>
      <w:marRight w:val="0"/>
      <w:marTop w:val="0"/>
      <w:marBottom w:val="0"/>
      <w:divBdr>
        <w:top w:val="none" w:sz="0" w:space="0" w:color="auto"/>
        <w:left w:val="none" w:sz="0" w:space="0" w:color="auto"/>
        <w:bottom w:val="none" w:sz="0" w:space="0" w:color="auto"/>
        <w:right w:val="none" w:sz="0" w:space="0" w:color="auto"/>
      </w:divBdr>
    </w:div>
    <w:div w:id="1249342425">
      <w:bodyDiv w:val="1"/>
      <w:marLeft w:val="0"/>
      <w:marRight w:val="0"/>
      <w:marTop w:val="0"/>
      <w:marBottom w:val="0"/>
      <w:divBdr>
        <w:top w:val="none" w:sz="0" w:space="0" w:color="auto"/>
        <w:left w:val="none" w:sz="0" w:space="0" w:color="auto"/>
        <w:bottom w:val="none" w:sz="0" w:space="0" w:color="auto"/>
        <w:right w:val="none" w:sz="0" w:space="0" w:color="auto"/>
      </w:divBdr>
    </w:div>
    <w:div w:id="1742211778">
      <w:bodyDiv w:val="1"/>
      <w:marLeft w:val="0"/>
      <w:marRight w:val="0"/>
      <w:marTop w:val="0"/>
      <w:marBottom w:val="0"/>
      <w:divBdr>
        <w:top w:val="none" w:sz="0" w:space="0" w:color="auto"/>
        <w:left w:val="none" w:sz="0" w:space="0" w:color="auto"/>
        <w:bottom w:val="none" w:sz="0" w:space="0" w:color="auto"/>
        <w:right w:val="none" w:sz="0" w:space="0" w:color="auto"/>
      </w:divBdr>
    </w:div>
    <w:div w:id="1963346308">
      <w:bodyDiv w:val="1"/>
      <w:marLeft w:val="0"/>
      <w:marRight w:val="0"/>
      <w:marTop w:val="0"/>
      <w:marBottom w:val="0"/>
      <w:divBdr>
        <w:top w:val="none" w:sz="0" w:space="0" w:color="auto"/>
        <w:left w:val="none" w:sz="0" w:space="0" w:color="auto"/>
        <w:bottom w:val="none" w:sz="0" w:space="0" w:color="auto"/>
        <w:right w:val="none" w:sz="0" w:space="0" w:color="auto"/>
      </w:divBdr>
    </w:div>
    <w:div w:id="20500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da.gov/ScienceResearch/SpecialTopics/RunningClinicalTrials/GuidancesInformationSheetsandNotices/ucm1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6B23-46E8-4A7E-8341-25765B44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12</Pages>
  <Words>3061</Words>
  <Characters>16841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19863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Erick Roel</cp:lastModifiedBy>
  <cp:revision>15</cp:revision>
  <cp:lastPrinted>2022-07-11T15:30:00Z</cp:lastPrinted>
  <dcterms:created xsi:type="dcterms:W3CDTF">2022-08-05T16:21:00Z</dcterms:created>
  <dcterms:modified xsi:type="dcterms:W3CDTF">2023-08-02T18:25:00Z</dcterms:modified>
</cp:coreProperties>
</file>