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Pr="0037647B" w:rsidRDefault="00F11BB4" w:rsidP="00DB53D2">
      <w:pPr>
        <w:jc w:val="both"/>
        <w:rPr>
          <w:color w:val="000000" w:themeColor="text1"/>
        </w:rPr>
      </w:pPr>
    </w:p>
    <w:p w:rsidR="00F11BB4" w:rsidRPr="0037647B" w:rsidRDefault="00803517" w:rsidP="00DB53D2">
      <w:pPr>
        <w:jc w:val="both"/>
        <w:rPr>
          <w:rFonts w:ascii="Arial" w:hAnsi="Arial" w:cs="Arial"/>
          <w:b/>
          <w:color w:val="000000" w:themeColor="text1"/>
        </w:rPr>
      </w:pPr>
      <w:r w:rsidRPr="0037647B">
        <w:rPr>
          <w:rFonts w:ascii="Arial" w:hAnsi="Arial" w:cs="Arial"/>
          <w:b/>
          <w:color w:val="000000" w:themeColor="text1"/>
        </w:rPr>
        <w:t>I. PROPÓSITO</w:t>
      </w:r>
    </w:p>
    <w:p w:rsidR="006F6B4E" w:rsidRPr="0037647B" w:rsidRDefault="006F6B4E" w:rsidP="00DB53D2">
      <w:pPr>
        <w:jc w:val="both"/>
        <w:rPr>
          <w:rFonts w:ascii="Arial" w:hAnsi="Arial" w:cs="Arial"/>
          <w:b/>
          <w:color w:val="000000" w:themeColor="text1"/>
        </w:rPr>
      </w:pPr>
    </w:p>
    <w:p w:rsidR="00803517" w:rsidRPr="0037647B" w:rsidRDefault="00803517" w:rsidP="00341F5A">
      <w:pPr>
        <w:ind w:left="426"/>
        <w:jc w:val="both"/>
        <w:rPr>
          <w:rFonts w:ascii="Arial" w:hAnsi="Arial" w:cs="Arial"/>
          <w:color w:val="000000" w:themeColor="text1"/>
        </w:rPr>
      </w:pPr>
      <w:r w:rsidRPr="0037647B">
        <w:rPr>
          <w:rFonts w:ascii="Arial" w:hAnsi="Arial" w:cs="Arial"/>
          <w:color w:val="000000" w:themeColor="text1"/>
        </w:rPr>
        <w:t>I.1.</w:t>
      </w:r>
      <w:r w:rsidR="00CB37E8" w:rsidRPr="0037647B">
        <w:rPr>
          <w:rFonts w:ascii="Arial" w:hAnsi="Arial" w:cs="Arial"/>
          <w:color w:val="000000" w:themeColor="text1"/>
        </w:rPr>
        <w:t>Definir los propósitos d</w:t>
      </w:r>
      <w:r w:rsidR="00C51C23" w:rsidRPr="0037647B">
        <w:rPr>
          <w:rFonts w:ascii="Arial" w:hAnsi="Arial" w:cs="Arial"/>
          <w:color w:val="000000" w:themeColor="text1"/>
        </w:rPr>
        <w:t xml:space="preserve">e las </w:t>
      </w:r>
      <w:r w:rsidR="008D4434" w:rsidRPr="0037647B">
        <w:rPr>
          <w:rFonts w:ascii="Arial" w:hAnsi="Arial" w:cs="Arial"/>
          <w:color w:val="000000" w:themeColor="text1"/>
        </w:rPr>
        <w:t>d</w:t>
      </w:r>
      <w:r w:rsidR="00C51C23" w:rsidRPr="0037647B">
        <w:rPr>
          <w:rFonts w:ascii="Arial" w:hAnsi="Arial" w:cs="Arial"/>
          <w:color w:val="000000" w:themeColor="text1"/>
        </w:rPr>
        <w:t>iferentes partes que integran el Programa de Protección</w:t>
      </w:r>
      <w:r w:rsidR="008D4434" w:rsidRPr="0037647B">
        <w:rPr>
          <w:rFonts w:ascii="Arial" w:hAnsi="Arial" w:cs="Arial"/>
          <w:color w:val="000000" w:themeColor="text1"/>
        </w:rPr>
        <w:t xml:space="preserve"> de Seres Humanos en Investigación</w:t>
      </w:r>
      <w:r w:rsidR="00C51C23" w:rsidRPr="0037647B">
        <w:rPr>
          <w:rFonts w:ascii="Arial" w:hAnsi="Arial" w:cs="Arial"/>
          <w:color w:val="000000" w:themeColor="text1"/>
        </w:rPr>
        <w:t xml:space="preserve"> </w:t>
      </w:r>
      <w:r w:rsidR="00C1535C" w:rsidRPr="0037647B">
        <w:rPr>
          <w:rFonts w:ascii="Arial" w:hAnsi="Arial" w:cs="Arial"/>
          <w:color w:val="000000" w:themeColor="text1"/>
        </w:rPr>
        <w:t>(</w:t>
      </w:r>
      <w:r w:rsidR="0037647B">
        <w:rPr>
          <w:rFonts w:ascii="Arial" w:hAnsi="Arial" w:cs="Arial"/>
          <w:color w:val="000000" w:themeColor="text1"/>
        </w:rPr>
        <w:t xml:space="preserve">PPSI), </w:t>
      </w:r>
      <w:r w:rsidR="00C51C23" w:rsidRPr="0037647B">
        <w:rPr>
          <w:rFonts w:ascii="Arial" w:hAnsi="Arial" w:cs="Arial"/>
          <w:color w:val="000000" w:themeColor="text1"/>
        </w:rPr>
        <w:t xml:space="preserve">así como del </w:t>
      </w:r>
      <w:r w:rsidR="006F6B4E" w:rsidRPr="0037647B">
        <w:rPr>
          <w:rFonts w:ascii="Arial" w:hAnsi="Arial" w:cs="Arial"/>
          <w:color w:val="000000" w:themeColor="text1"/>
        </w:rPr>
        <w:t>CEI</w:t>
      </w:r>
    </w:p>
    <w:p w:rsidR="00CB37E8" w:rsidRPr="0037647B" w:rsidRDefault="00CB37E8" w:rsidP="00341F5A">
      <w:pPr>
        <w:ind w:left="426"/>
        <w:jc w:val="both"/>
        <w:rPr>
          <w:rFonts w:ascii="Arial" w:hAnsi="Arial" w:cs="Arial"/>
          <w:color w:val="000000" w:themeColor="text1"/>
        </w:rPr>
      </w:pPr>
      <w:r w:rsidRPr="0037647B">
        <w:rPr>
          <w:rFonts w:ascii="Arial" w:hAnsi="Arial" w:cs="Arial"/>
          <w:color w:val="000000" w:themeColor="text1"/>
        </w:rPr>
        <w:t xml:space="preserve">I.2. Definir la autoridad y autonomía del </w:t>
      </w:r>
      <w:r w:rsidR="006F6B4E" w:rsidRPr="0037647B">
        <w:rPr>
          <w:rFonts w:ascii="Arial" w:hAnsi="Arial" w:cs="Arial"/>
          <w:color w:val="000000" w:themeColor="text1"/>
        </w:rPr>
        <w:t>CEI</w:t>
      </w:r>
    </w:p>
    <w:p w:rsidR="00C34F96" w:rsidRPr="0037647B" w:rsidRDefault="00CB37E8" w:rsidP="00341F5A">
      <w:pPr>
        <w:ind w:left="426"/>
        <w:jc w:val="both"/>
        <w:rPr>
          <w:rFonts w:ascii="Arial" w:hAnsi="Arial" w:cs="Arial"/>
          <w:color w:val="000000" w:themeColor="text1"/>
        </w:rPr>
      </w:pPr>
      <w:r w:rsidRPr="0037647B">
        <w:rPr>
          <w:rFonts w:ascii="Arial" w:hAnsi="Arial" w:cs="Arial"/>
          <w:color w:val="000000" w:themeColor="text1"/>
        </w:rPr>
        <w:t>I.3. Definir el proceso de</w:t>
      </w:r>
      <w:r w:rsidR="008D4434" w:rsidRPr="0037647B">
        <w:rPr>
          <w:rFonts w:ascii="Arial" w:hAnsi="Arial" w:cs="Arial"/>
          <w:color w:val="000000" w:themeColor="text1"/>
        </w:rPr>
        <w:t>l</w:t>
      </w:r>
      <w:r w:rsidRPr="0037647B">
        <w:rPr>
          <w:rFonts w:ascii="Arial" w:hAnsi="Arial" w:cs="Arial"/>
          <w:color w:val="000000" w:themeColor="text1"/>
        </w:rPr>
        <w:t xml:space="preserve"> </w:t>
      </w:r>
      <w:r w:rsidR="008D4434" w:rsidRPr="0037647B">
        <w:rPr>
          <w:rFonts w:ascii="Arial" w:hAnsi="Arial" w:cs="Arial"/>
          <w:color w:val="000000" w:themeColor="text1"/>
        </w:rPr>
        <w:t>r</w:t>
      </w:r>
      <w:r w:rsidRPr="0037647B">
        <w:rPr>
          <w:rFonts w:ascii="Arial" w:hAnsi="Arial" w:cs="Arial"/>
          <w:color w:val="000000" w:themeColor="text1"/>
        </w:rPr>
        <w:t xml:space="preserve">egistro del </w:t>
      </w:r>
      <w:r w:rsidR="006F6B4E" w:rsidRPr="0037647B">
        <w:rPr>
          <w:rFonts w:ascii="Arial" w:hAnsi="Arial" w:cs="Arial"/>
          <w:color w:val="000000" w:themeColor="text1"/>
        </w:rPr>
        <w:t>CEI</w:t>
      </w:r>
    </w:p>
    <w:p w:rsidR="00C34F96" w:rsidRPr="0037647B" w:rsidRDefault="00C34F96" w:rsidP="00341F5A">
      <w:pPr>
        <w:ind w:left="426"/>
        <w:jc w:val="both"/>
        <w:rPr>
          <w:rFonts w:ascii="Arial" w:hAnsi="Arial" w:cs="Arial"/>
          <w:color w:val="000000" w:themeColor="text1"/>
        </w:rPr>
      </w:pPr>
      <w:r w:rsidRPr="0037647B">
        <w:rPr>
          <w:rFonts w:ascii="Arial" w:hAnsi="Arial" w:cs="Arial"/>
          <w:color w:val="000000" w:themeColor="text1"/>
        </w:rPr>
        <w:t xml:space="preserve">I.4. </w:t>
      </w:r>
      <w:r w:rsidR="008D4434" w:rsidRPr="0037647B">
        <w:rPr>
          <w:rFonts w:ascii="Arial" w:hAnsi="Arial" w:cs="Arial"/>
          <w:color w:val="000000" w:themeColor="text1"/>
        </w:rPr>
        <w:t>Identificar las</w:t>
      </w:r>
      <w:r w:rsidRPr="0037647B">
        <w:rPr>
          <w:rFonts w:ascii="Arial" w:hAnsi="Arial" w:cs="Arial"/>
          <w:color w:val="000000" w:themeColor="text1"/>
        </w:rPr>
        <w:t xml:space="preserve"> definiciones que están involucradas dentro del contexto de </w:t>
      </w:r>
      <w:r w:rsidR="008D4434" w:rsidRPr="0037647B">
        <w:rPr>
          <w:rFonts w:ascii="Arial" w:hAnsi="Arial" w:cs="Arial"/>
          <w:color w:val="000000" w:themeColor="text1"/>
        </w:rPr>
        <w:t>i</w:t>
      </w:r>
      <w:r w:rsidRPr="0037647B">
        <w:rPr>
          <w:rFonts w:ascii="Arial" w:hAnsi="Arial" w:cs="Arial"/>
          <w:color w:val="000000" w:themeColor="text1"/>
        </w:rPr>
        <w:t>nvestigación en nuestra Institución</w:t>
      </w:r>
    </w:p>
    <w:p w:rsidR="00803517" w:rsidRPr="0037647B" w:rsidRDefault="00803517" w:rsidP="00DB53D2">
      <w:pPr>
        <w:jc w:val="both"/>
        <w:rPr>
          <w:rFonts w:ascii="Arial" w:hAnsi="Arial" w:cs="Arial"/>
          <w:b/>
          <w:color w:val="000000" w:themeColor="text1"/>
        </w:rPr>
      </w:pPr>
    </w:p>
    <w:p w:rsidR="00803517" w:rsidRPr="0037647B" w:rsidRDefault="00803517" w:rsidP="00DB53D2">
      <w:pPr>
        <w:jc w:val="both"/>
        <w:rPr>
          <w:rFonts w:ascii="Arial" w:hAnsi="Arial" w:cs="Arial"/>
          <w:b/>
          <w:color w:val="000000" w:themeColor="text1"/>
        </w:rPr>
      </w:pPr>
      <w:r w:rsidRPr="0037647B">
        <w:rPr>
          <w:rFonts w:ascii="Arial" w:hAnsi="Arial" w:cs="Arial"/>
          <w:b/>
          <w:color w:val="000000" w:themeColor="text1"/>
        </w:rPr>
        <w:t>II. REVISIONES DE VERSIONES PREVIAS</w:t>
      </w:r>
    </w:p>
    <w:p w:rsidR="00803517" w:rsidRPr="0037647B" w:rsidRDefault="00D20DCE" w:rsidP="00341F5A">
      <w:pPr>
        <w:ind w:firstLine="426"/>
        <w:jc w:val="both"/>
        <w:rPr>
          <w:rFonts w:ascii="Arial" w:hAnsi="Arial" w:cs="Arial"/>
          <w:color w:val="000000" w:themeColor="text1"/>
        </w:rPr>
      </w:pPr>
      <w:r>
        <w:rPr>
          <w:rFonts w:ascii="Arial" w:hAnsi="Arial" w:cs="Arial"/>
          <w:color w:val="000000" w:themeColor="text1"/>
        </w:rPr>
        <w:t>Versión 04</w:t>
      </w:r>
    </w:p>
    <w:p w:rsidR="00803517" w:rsidRPr="0037647B" w:rsidRDefault="00803517" w:rsidP="00DB53D2">
      <w:pPr>
        <w:jc w:val="both"/>
        <w:rPr>
          <w:rFonts w:ascii="Arial" w:hAnsi="Arial" w:cs="Arial"/>
          <w:b/>
          <w:color w:val="000000" w:themeColor="text1"/>
        </w:rPr>
      </w:pPr>
    </w:p>
    <w:p w:rsidR="00803517" w:rsidRPr="0037647B" w:rsidRDefault="00803517" w:rsidP="00DB53D2">
      <w:pPr>
        <w:jc w:val="both"/>
        <w:rPr>
          <w:rFonts w:ascii="Arial" w:hAnsi="Arial" w:cs="Arial"/>
          <w:b/>
          <w:color w:val="000000" w:themeColor="text1"/>
        </w:rPr>
      </w:pPr>
      <w:r w:rsidRPr="0037647B">
        <w:rPr>
          <w:rFonts w:ascii="Arial" w:hAnsi="Arial" w:cs="Arial"/>
          <w:b/>
          <w:color w:val="000000" w:themeColor="text1"/>
        </w:rPr>
        <w:t>III. POLÍTICAS</w:t>
      </w:r>
    </w:p>
    <w:p w:rsidR="008A1BE2" w:rsidRPr="0037647B" w:rsidRDefault="008A1BE2" w:rsidP="00DB53D2">
      <w:pPr>
        <w:pStyle w:val="Ttulo1"/>
        <w:jc w:val="both"/>
        <w:rPr>
          <w:color w:val="000000" w:themeColor="text1"/>
          <w:lang w:val="es-ES"/>
        </w:rPr>
      </w:pPr>
      <w:r w:rsidRPr="0037647B">
        <w:rPr>
          <w:color w:val="000000" w:themeColor="text1"/>
          <w:lang w:val="es-ES"/>
        </w:rPr>
        <w:t>1.         Principios gobernanTES</w:t>
      </w:r>
    </w:p>
    <w:p w:rsidR="008A1BE2" w:rsidRPr="0037647B" w:rsidRDefault="008A1BE2" w:rsidP="00DB53D2">
      <w:pPr>
        <w:jc w:val="both"/>
        <w:rPr>
          <w:rFonts w:ascii="Arial" w:hAnsi="Arial" w:cs="Arial"/>
          <w:color w:val="000000" w:themeColor="text1"/>
        </w:rPr>
      </w:pPr>
    </w:p>
    <w:p w:rsidR="008A1BE2" w:rsidRPr="0037647B" w:rsidRDefault="008A1BE2" w:rsidP="00DB53D2">
      <w:pPr>
        <w:pStyle w:val="level1bodystyle"/>
        <w:jc w:val="both"/>
        <w:rPr>
          <w:color w:val="000000" w:themeColor="text1"/>
          <w:lang w:val="es-ES"/>
        </w:rPr>
      </w:pPr>
      <w:r w:rsidRPr="0037647B">
        <w:rPr>
          <w:snapToGrid w:val="0"/>
          <w:color w:val="000000" w:themeColor="text1"/>
          <w:lang w:val="es-ES"/>
        </w:rPr>
        <w:t xml:space="preserve">El </w:t>
      </w:r>
      <w:r w:rsidR="006F6B4E" w:rsidRPr="0037647B">
        <w:rPr>
          <w:snapToGrid w:val="0"/>
          <w:color w:val="000000" w:themeColor="text1"/>
          <w:lang w:val="es-ES"/>
        </w:rPr>
        <w:t>CEI</w:t>
      </w:r>
      <w:r w:rsidRPr="0037647B">
        <w:rPr>
          <w:snapToGrid w:val="0"/>
          <w:color w:val="000000" w:themeColor="text1"/>
          <w:lang w:val="es-ES"/>
        </w:rPr>
        <w:t xml:space="preserve"> </w:t>
      </w:r>
      <w:r w:rsidR="00663511" w:rsidRPr="0037647B">
        <w:rPr>
          <w:snapToGrid w:val="0"/>
          <w:color w:val="000000" w:themeColor="text1"/>
          <w:lang w:val="es-ES"/>
        </w:rPr>
        <w:t xml:space="preserve">es </w:t>
      </w:r>
      <w:r w:rsidRPr="0037647B">
        <w:rPr>
          <w:snapToGrid w:val="0"/>
          <w:color w:val="000000" w:themeColor="text1"/>
          <w:lang w:val="es-ES"/>
        </w:rPr>
        <w:t>guiado p</w:t>
      </w:r>
      <w:r w:rsidR="0037647B" w:rsidRPr="0037647B">
        <w:rPr>
          <w:snapToGrid w:val="0"/>
          <w:color w:val="000000" w:themeColor="text1"/>
          <w:lang w:val="es-ES"/>
        </w:rPr>
        <w:t>or los principios éticos aplicad</w:t>
      </w:r>
      <w:r w:rsidRPr="0037647B">
        <w:rPr>
          <w:snapToGrid w:val="0"/>
          <w:color w:val="000000" w:themeColor="text1"/>
          <w:lang w:val="es-ES"/>
        </w:rPr>
        <w:t xml:space="preserve">os a toda investigación que involucra a seres humanos como sujetos, según lo dispuesto en el reporte de la Comisión Nacional para la Protección de los Sujetos Humanos de Investigación Biomédica y </w:t>
      </w:r>
      <w:r w:rsidR="00663511" w:rsidRPr="0037647B">
        <w:rPr>
          <w:snapToGrid w:val="0"/>
          <w:color w:val="000000" w:themeColor="text1"/>
          <w:lang w:val="es-ES"/>
        </w:rPr>
        <w:t>Conductual</w:t>
      </w:r>
      <w:r w:rsidRPr="0037647B">
        <w:rPr>
          <w:snapToGrid w:val="0"/>
          <w:color w:val="000000" w:themeColor="text1"/>
          <w:lang w:val="es-ES"/>
        </w:rPr>
        <w:t xml:space="preserve">, titulados: Principios Éticos y Lineamientos para la Protección de Sujetos Humanos </w:t>
      </w:r>
      <w:r w:rsidR="00663511" w:rsidRPr="0037647B">
        <w:rPr>
          <w:snapToGrid w:val="0"/>
          <w:color w:val="000000" w:themeColor="text1"/>
          <w:lang w:val="es-ES"/>
        </w:rPr>
        <w:t>en</w:t>
      </w:r>
      <w:r w:rsidRPr="0037647B">
        <w:rPr>
          <w:snapToGrid w:val="0"/>
          <w:color w:val="000000" w:themeColor="text1"/>
          <w:lang w:val="es-ES"/>
        </w:rPr>
        <w:t xml:space="preserve"> Investig</w:t>
      </w:r>
      <w:r w:rsidR="00C1535C" w:rsidRPr="0037647B">
        <w:rPr>
          <w:snapToGrid w:val="0"/>
          <w:color w:val="000000" w:themeColor="text1"/>
          <w:lang w:val="es-ES"/>
        </w:rPr>
        <w:t>ación (el “Reporte de Belmont”)</w:t>
      </w:r>
      <w:r w:rsidR="00663511" w:rsidRPr="0037647B">
        <w:rPr>
          <w:snapToGrid w:val="0"/>
          <w:color w:val="000000" w:themeColor="text1"/>
          <w:lang w:val="es-ES"/>
        </w:rPr>
        <w:t>;</w:t>
      </w:r>
      <w:r w:rsidR="00C1535C" w:rsidRPr="0037647B">
        <w:rPr>
          <w:snapToGrid w:val="0"/>
          <w:color w:val="000000" w:themeColor="text1"/>
          <w:lang w:val="es-ES"/>
        </w:rPr>
        <w:t xml:space="preserve"> así como lo dispuesto por la Comisión Nacional de Bioética. </w:t>
      </w:r>
      <w:r w:rsidRPr="0037647B">
        <w:rPr>
          <w:color w:val="000000" w:themeColor="text1"/>
          <w:lang w:val="es-ES"/>
        </w:rPr>
        <w:t>Estos principios se definen en el Reporte de Belmont (Apéndice A) como sigue:</w:t>
      </w:r>
    </w:p>
    <w:p w:rsidR="008A1BE2" w:rsidRPr="0037647B" w:rsidRDefault="008A1BE2" w:rsidP="00341F5A">
      <w:pPr>
        <w:pStyle w:val="List-Level1"/>
        <w:numPr>
          <w:ilvl w:val="0"/>
          <w:numId w:val="11"/>
        </w:numPr>
        <w:tabs>
          <w:tab w:val="clear" w:pos="720"/>
          <w:tab w:val="num" w:pos="1134"/>
        </w:tabs>
        <w:ind w:left="1134" w:hanging="283"/>
        <w:jc w:val="both"/>
        <w:rPr>
          <w:color w:val="000000" w:themeColor="text1"/>
          <w:lang w:val="es-ES"/>
        </w:rPr>
      </w:pPr>
      <w:r w:rsidRPr="0037647B">
        <w:rPr>
          <w:b/>
          <w:bCs/>
          <w:color w:val="000000" w:themeColor="text1"/>
          <w:lang w:val="es-ES"/>
        </w:rPr>
        <w:t>Beneficencia</w:t>
      </w:r>
      <w:r w:rsidRPr="0037647B">
        <w:rPr>
          <w:color w:val="000000" w:themeColor="text1"/>
          <w:lang w:val="es-ES"/>
        </w:rPr>
        <w:t xml:space="preserve"> -- La suma de los beneficios para el sujeto y la importancia del conocimiento que se genere  compensan los riesgos a los sujetos como para justificar una decisión para permitir al sujeto aceptar dichos riesgos.</w:t>
      </w:r>
    </w:p>
    <w:p w:rsidR="008A1BE2" w:rsidRPr="0037647B" w:rsidRDefault="008A1BE2" w:rsidP="00341F5A">
      <w:pPr>
        <w:pStyle w:val="List-Level1"/>
        <w:numPr>
          <w:ilvl w:val="0"/>
          <w:numId w:val="11"/>
        </w:numPr>
        <w:tabs>
          <w:tab w:val="clear" w:pos="720"/>
          <w:tab w:val="num" w:pos="1134"/>
        </w:tabs>
        <w:ind w:left="1134" w:hanging="283"/>
        <w:jc w:val="both"/>
        <w:rPr>
          <w:color w:val="000000" w:themeColor="text1"/>
          <w:lang w:val="es-ES"/>
        </w:rPr>
      </w:pPr>
      <w:r w:rsidRPr="0037647B">
        <w:rPr>
          <w:b/>
          <w:bCs/>
          <w:color w:val="000000" w:themeColor="text1"/>
          <w:lang w:val="es-ES"/>
        </w:rPr>
        <w:t>Autonomía</w:t>
      </w:r>
      <w:r w:rsidRPr="0037647B">
        <w:rPr>
          <w:color w:val="000000" w:themeColor="text1"/>
          <w:lang w:val="es-ES"/>
        </w:rPr>
        <w:t xml:space="preserve"> -- Se obtiene el consentimiento informado legalmente eficaz, a menos que los requisitos para la renuncia del consentimiento informado se cumplan por métodos adecuados y apropiados de acuerdo con las provisiones de las regulaciones aplicables. </w:t>
      </w:r>
    </w:p>
    <w:p w:rsidR="008A1BE2" w:rsidRPr="0037647B" w:rsidRDefault="008A1BE2" w:rsidP="00341F5A">
      <w:pPr>
        <w:pStyle w:val="List-Level1"/>
        <w:numPr>
          <w:ilvl w:val="0"/>
          <w:numId w:val="11"/>
        </w:numPr>
        <w:tabs>
          <w:tab w:val="clear" w:pos="720"/>
          <w:tab w:val="num" w:pos="1134"/>
        </w:tabs>
        <w:ind w:left="1134" w:hanging="283"/>
        <w:jc w:val="both"/>
        <w:rPr>
          <w:color w:val="000000" w:themeColor="text1"/>
          <w:lang w:val="es-ES"/>
        </w:rPr>
      </w:pPr>
      <w:r w:rsidRPr="0037647B">
        <w:rPr>
          <w:b/>
          <w:bCs/>
          <w:color w:val="000000" w:themeColor="text1"/>
          <w:lang w:val="es-ES"/>
        </w:rPr>
        <w:t>Justicia</w:t>
      </w:r>
      <w:r w:rsidRPr="0037647B">
        <w:rPr>
          <w:color w:val="000000" w:themeColor="text1"/>
          <w:lang w:val="es-ES"/>
        </w:rPr>
        <w:t xml:space="preserve"> -- La selección de sujetos es equitativa y es </w:t>
      </w:r>
      <w:r w:rsidR="00663511" w:rsidRPr="0037647B">
        <w:rPr>
          <w:color w:val="000000" w:themeColor="text1"/>
          <w:lang w:val="es-ES"/>
        </w:rPr>
        <w:t xml:space="preserve">representativa </w:t>
      </w:r>
      <w:r w:rsidRPr="0037647B">
        <w:rPr>
          <w:color w:val="000000" w:themeColor="text1"/>
          <w:lang w:val="es-ES"/>
        </w:rPr>
        <w:t>del grupo que se beneficiará de la investigación.</w:t>
      </w:r>
    </w:p>
    <w:p w:rsidR="00CB37E8" w:rsidRPr="0037647B" w:rsidRDefault="008A1BE2" w:rsidP="00DB53D2">
      <w:pPr>
        <w:pStyle w:val="Ttulo1"/>
        <w:jc w:val="both"/>
        <w:rPr>
          <w:color w:val="000000" w:themeColor="text1"/>
          <w:lang w:val="es-ES"/>
        </w:rPr>
      </w:pPr>
      <w:r w:rsidRPr="0037647B">
        <w:rPr>
          <w:color w:val="000000" w:themeColor="text1"/>
          <w:lang w:val="es-ES"/>
        </w:rPr>
        <w:br w:type="page"/>
      </w:r>
    </w:p>
    <w:p w:rsidR="008A1BE2" w:rsidRPr="0037647B" w:rsidRDefault="008A1BE2" w:rsidP="00DB53D2">
      <w:pPr>
        <w:pStyle w:val="Ttulo1"/>
        <w:jc w:val="both"/>
        <w:rPr>
          <w:color w:val="000000" w:themeColor="text1"/>
          <w:lang w:val="es-ES"/>
        </w:rPr>
      </w:pPr>
      <w:r w:rsidRPr="0037647B">
        <w:rPr>
          <w:color w:val="000000" w:themeColor="text1"/>
          <w:lang w:val="es-ES"/>
        </w:rPr>
        <w:lastRenderedPageBreak/>
        <w:t>2.         Autoridad</w:t>
      </w:r>
    </w:p>
    <w:p w:rsidR="008A1BE2" w:rsidRPr="0037647B" w:rsidRDefault="008A1BE2" w:rsidP="00DB53D2">
      <w:pPr>
        <w:pStyle w:val="level1bodystyle"/>
        <w:jc w:val="both"/>
        <w:rPr>
          <w:color w:val="000000" w:themeColor="text1"/>
          <w:lang w:val="es-ES"/>
        </w:rPr>
      </w:pPr>
      <w:r w:rsidRPr="0037647B">
        <w:rPr>
          <w:color w:val="000000" w:themeColor="text1"/>
          <w:lang w:val="es-ES"/>
        </w:rPr>
        <w:t xml:space="preserve">El </w:t>
      </w:r>
      <w:r w:rsidR="006F6B4E" w:rsidRPr="0037647B">
        <w:rPr>
          <w:color w:val="000000" w:themeColor="text1"/>
          <w:lang w:val="es-ES"/>
        </w:rPr>
        <w:t xml:space="preserve">CEI </w:t>
      </w:r>
      <w:r w:rsidRPr="0037647B">
        <w:rPr>
          <w:color w:val="000000" w:themeColor="text1"/>
          <w:lang w:val="es-ES"/>
        </w:rPr>
        <w:t xml:space="preserve">es una institución establecida  y autorizada bajo los auspicios de las autoridades ejecutivas de la Facultad de Medicina y </w:t>
      </w:r>
      <w:r w:rsidR="006F6B4E" w:rsidRPr="0037647B">
        <w:rPr>
          <w:color w:val="000000" w:themeColor="text1"/>
          <w:lang w:val="es-ES"/>
        </w:rPr>
        <w:t>Hospital Universitario</w:t>
      </w:r>
      <w:r w:rsidRPr="0037647B">
        <w:rPr>
          <w:color w:val="000000" w:themeColor="text1"/>
          <w:szCs w:val="24"/>
          <w:lang w:val="es-ES"/>
        </w:rPr>
        <w:t>, así como lo dispuesto en la Ley General de Salud en Materia de Investigación</w:t>
      </w:r>
      <w:r w:rsidR="003C6C9E" w:rsidRPr="0037647B">
        <w:rPr>
          <w:color w:val="000000" w:themeColor="text1"/>
          <w:szCs w:val="24"/>
          <w:lang w:val="es-ES"/>
        </w:rPr>
        <w:t>,</w:t>
      </w:r>
      <w:r w:rsidRPr="0037647B">
        <w:rPr>
          <w:color w:val="000000" w:themeColor="text1"/>
          <w:szCs w:val="24"/>
          <w:lang w:val="es-ES"/>
        </w:rPr>
        <w:t xml:space="preserve"> Art</w:t>
      </w:r>
      <w:r w:rsidR="003C6C9E" w:rsidRPr="0037647B">
        <w:rPr>
          <w:color w:val="000000" w:themeColor="text1"/>
          <w:szCs w:val="24"/>
          <w:lang w:val="es-ES"/>
        </w:rPr>
        <w:t>í</w:t>
      </w:r>
      <w:r w:rsidRPr="0037647B">
        <w:rPr>
          <w:color w:val="000000" w:themeColor="text1"/>
          <w:szCs w:val="24"/>
          <w:lang w:val="es-ES"/>
        </w:rPr>
        <w:t>culo</w:t>
      </w:r>
      <w:r w:rsidR="003C6C9E" w:rsidRPr="0037647B">
        <w:rPr>
          <w:color w:val="000000" w:themeColor="text1"/>
          <w:szCs w:val="24"/>
          <w:lang w:val="es-ES"/>
        </w:rPr>
        <w:t>s</w:t>
      </w:r>
      <w:r w:rsidRPr="0037647B">
        <w:rPr>
          <w:color w:val="000000" w:themeColor="text1"/>
          <w:szCs w:val="24"/>
          <w:lang w:val="es-ES"/>
        </w:rPr>
        <w:t xml:space="preserve"> 101,103,104,105,106 y 107,</w:t>
      </w:r>
      <w:r w:rsidR="003C6C9E" w:rsidRPr="0037647B">
        <w:rPr>
          <w:color w:val="000000" w:themeColor="text1"/>
          <w:szCs w:val="24"/>
          <w:lang w:val="es-ES"/>
        </w:rPr>
        <w:t xml:space="preserve"> y </w:t>
      </w:r>
      <w:r w:rsidRPr="0037647B">
        <w:rPr>
          <w:color w:val="000000" w:themeColor="text1"/>
          <w:szCs w:val="24"/>
          <w:lang w:val="es-ES"/>
        </w:rPr>
        <w:t xml:space="preserve">así como lo que </w:t>
      </w:r>
      <w:r w:rsidR="003C6C9E" w:rsidRPr="0037647B">
        <w:rPr>
          <w:color w:val="000000" w:themeColor="text1"/>
          <w:szCs w:val="24"/>
          <w:lang w:val="es-ES"/>
        </w:rPr>
        <w:t>d</w:t>
      </w:r>
      <w:r w:rsidRPr="0037647B">
        <w:rPr>
          <w:color w:val="000000" w:themeColor="text1"/>
          <w:szCs w:val="24"/>
          <w:lang w:val="es-ES"/>
        </w:rPr>
        <w:t>icta la Norma 315 de la misma Ley,</w:t>
      </w:r>
      <w:r w:rsidR="00C1535C" w:rsidRPr="0037647B">
        <w:rPr>
          <w:color w:val="000000" w:themeColor="text1"/>
          <w:szCs w:val="24"/>
          <w:lang w:val="es-ES"/>
        </w:rPr>
        <w:t xml:space="preserve"> y por las re</w:t>
      </w:r>
      <w:r w:rsidR="003C6C9E" w:rsidRPr="0037647B">
        <w:rPr>
          <w:color w:val="000000" w:themeColor="text1"/>
          <w:szCs w:val="24"/>
          <w:lang w:val="es-ES"/>
        </w:rPr>
        <w:t>gulaciones</w:t>
      </w:r>
      <w:r w:rsidR="00C1535C" w:rsidRPr="0037647B">
        <w:rPr>
          <w:color w:val="000000" w:themeColor="text1"/>
          <w:szCs w:val="24"/>
          <w:lang w:val="es-ES"/>
        </w:rPr>
        <w:t xml:space="preserve"> de la Comisión Nacional de Bioética, </w:t>
      </w:r>
      <w:r w:rsidRPr="0037647B">
        <w:rPr>
          <w:color w:val="000000" w:themeColor="text1"/>
          <w:szCs w:val="24"/>
          <w:lang w:val="es-ES"/>
        </w:rPr>
        <w:t xml:space="preserve">Buenas Prácticas Clínicas, Código Federal de Regulación 45 y 21 de los Estados Unidos de </w:t>
      </w:r>
      <w:r w:rsidR="003C6C9E" w:rsidRPr="0037647B">
        <w:rPr>
          <w:color w:val="000000" w:themeColor="text1"/>
          <w:szCs w:val="24"/>
          <w:lang w:val="es-ES"/>
        </w:rPr>
        <w:t>A</w:t>
      </w:r>
      <w:r w:rsidRPr="0037647B">
        <w:rPr>
          <w:color w:val="000000" w:themeColor="text1"/>
          <w:szCs w:val="24"/>
          <w:lang w:val="es-ES"/>
        </w:rPr>
        <w:t>mérica a través de la</w:t>
      </w:r>
      <w:r w:rsidR="00B47F41" w:rsidRPr="0037647B">
        <w:rPr>
          <w:color w:val="000000" w:themeColor="text1"/>
          <w:szCs w:val="24"/>
          <w:lang w:val="es-ES"/>
        </w:rPr>
        <w:t xml:space="preserve"> </w:t>
      </w:r>
      <w:r w:rsidRPr="0037647B">
        <w:rPr>
          <w:color w:val="000000" w:themeColor="text1"/>
          <w:szCs w:val="24"/>
          <w:lang w:val="es-ES"/>
        </w:rPr>
        <w:t>FDA</w:t>
      </w:r>
      <w:r w:rsidR="007D630D" w:rsidRPr="0037647B">
        <w:rPr>
          <w:color w:val="000000" w:themeColor="text1"/>
          <w:szCs w:val="24"/>
          <w:lang w:val="es-ES"/>
        </w:rPr>
        <w:t>, y bajo los lineamientos del Reglamento Interno de Investigación</w:t>
      </w:r>
      <w:r w:rsidRPr="0037647B">
        <w:rPr>
          <w:color w:val="000000" w:themeColor="text1"/>
          <w:szCs w:val="24"/>
          <w:lang w:val="es-ES"/>
        </w:rPr>
        <w:t>.</w:t>
      </w:r>
      <w:r w:rsidRPr="0037647B">
        <w:rPr>
          <w:color w:val="000000" w:themeColor="text1"/>
          <w:lang w:val="es-ES"/>
        </w:rPr>
        <w:t xml:space="preserve"> Esta institución </w:t>
      </w:r>
      <w:r w:rsidRPr="0037647B">
        <w:rPr>
          <w:snapToGrid w:val="0"/>
          <w:color w:val="000000" w:themeColor="text1"/>
          <w:lang w:val="es-ES"/>
        </w:rPr>
        <w:t>requiere que todos los proyectos de investigación que involucran a seres humanos o no, sean revisados y aprobados por nuestro Comité  antes de la iniciación de cualquier actividad relacionada a la investigación, incluyendo actividades de reclutamiento y revisión.</w:t>
      </w:r>
    </w:p>
    <w:p w:rsidR="008A1BE2" w:rsidRPr="0037647B" w:rsidRDefault="006F6B4E" w:rsidP="00DB53D2">
      <w:pPr>
        <w:pStyle w:val="level1bodystyle"/>
        <w:jc w:val="both"/>
        <w:rPr>
          <w:snapToGrid w:val="0"/>
          <w:color w:val="000000" w:themeColor="text1"/>
          <w:lang w:val="es-ES"/>
        </w:rPr>
      </w:pPr>
      <w:r w:rsidRPr="0037647B">
        <w:rPr>
          <w:color w:val="000000" w:themeColor="text1"/>
          <w:lang w:val="es-ES"/>
        </w:rPr>
        <w:t>El CEI</w:t>
      </w:r>
      <w:r w:rsidR="008A1BE2" w:rsidRPr="0037647B">
        <w:rPr>
          <w:color w:val="000000" w:themeColor="text1"/>
          <w:lang w:val="es-ES"/>
        </w:rPr>
        <w:t xml:space="preserve"> se establece para revisar la investigación biomédica y </w:t>
      </w:r>
      <w:r w:rsidR="003C6C9E" w:rsidRPr="0037647B">
        <w:rPr>
          <w:color w:val="000000" w:themeColor="text1"/>
          <w:lang w:val="es-ES"/>
        </w:rPr>
        <w:t>conductual</w:t>
      </w:r>
      <w:r w:rsidR="008A1BE2" w:rsidRPr="0037647B">
        <w:rPr>
          <w:color w:val="000000" w:themeColor="text1"/>
          <w:lang w:val="es-ES"/>
        </w:rPr>
        <w:t xml:space="preserve"> </w:t>
      </w:r>
      <w:r w:rsidR="008A1BE2" w:rsidRPr="0037647B">
        <w:rPr>
          <w:snapToGrid w:val="0"/>
          <w:color w:val="000000" w:themeColor="text1"/>
          <w:lang w:val="es-ES"/>
        </w:rPr>
        <w:t>que involucra sujetos humanos</w:t>
      </w:r>
      <w:r w:rsidR="003C6C9E" w:rsidRPr="0037647B">
        <w:rPr>
          <w:snapToGrid w:val="0"/>
          <w:color w:val="000000" w:themeColor="text1"/>
          <w:lang w:val="es-ES"/>
        </w:rPr>
        <w:t>,</w:t>
      </w:r>
      <w:r w:rsidR="008A1BE2" w:rsidRPr="0037647B">
        <w:rPr>
          <w:snapToGrid w:val="0"/>
          <w:color w:val="000000" w:themeColor="text1"/>
          <w:lang w:val="es-ES"/>
        </w:rPr>
        <w:t xml:space="preserve"> sin importar la fuente del financiamiento y la localización del estudio. </w:t>
      </w:r>
    </w:p>
    <w:p w:rsidR="008A1BE2" w:rsidRPr="0037647B" w:rsidRDefault="00C1535C" w:rsidP="00DB53D2">
      <w:pPr>
        <w:pStyle w:val="level1bodystyle"/>
        <w:jc w:val="both"/>
        <w:rPr>
          <w:color w:val="000000" w:themeColor="text1"/>
          <w:lang w:val="es-ES"/>
        </w:rPr>
      </w:pPr>
      <w:r w:rsidRPr="0037647B">
        <w:rPr>
          <w:snapToGrid w:val="0"/>
          <w:color w:val="000000" w:themeColor="text1"/>
          <w:lang w:val="es-ES"/>
        </w:rPr>
        <w:t>T</w:t>
      </w:r>
      <w:r w:rsidR="008A1BE2" w:rsidRPr="0037647B">
        <w:rPr>
          <w:snapToGrid w:val="0"/>
          <w:color w:val="000000" w:themeColor="text1"/>
          <w:lang w:val="es-ES"/>
        </w:rPr>
        <w:t>oda investigaci</w:t>
      </w:r>
      <w:r w:rsidR="003C6C9E" w:rsidRPr="0037647B">
        <w:rPr>
          <w:snapToGrid w:val="0"/>
          <w:color w:val="000000" w:themeColor="text1"/>
          <w:lang w:val="es-ES"/>
        </w:rPr>
        <w:t>ón</w:t>
      </w:r>
      <w:r w:rsidR="008A1BE2" w:rsidRPr="0037647B">
        <w:rPr>
          <w:snapToGrid w:val="0"/>
          <w:color w:val="000000" w:themeColor="text1"/>
          <w:lang w:val="es-ES"/>
        </w:rPr>
        <w:t xml:space="preserve"> que involucra sujetos humanos</w:t>
      </w:r>
      <w:r w:rsidRPr="0037647B">
        <w:rPr>
          <w:snapToGrid w:val="0"/>
          <w:color w:val="000000" w:themeColor="text1"/>
          <w:lang w:val="es-ES"/>
        </w:rPr>
        <w:t>, así como sus productos como tejido, sangre, estudios genéticos</w:t>
      </w:r>
      <w:r w:rsidR="008A1BE2" w:rsidRPr="0037647B">
        <w:rPr>
          <w:snapToGrid w:val="0"/>
          <w:color w:val="000000" w:themeColor="text1"/>
          <w:lang w:val="es-ES"/>
        </w:rPr>
        <w:t>, incluso en parte</w:t>
      </w:r>
      <w:r w:rsidR="003C6C9E" w:rsidRPr="0037647B">
        <w:rPr>
          <w:snapToGrid w:val="0"/>
          <w:color w:val="000000" w:themeColor="text1"/>
          <w:lang w:val="es-ES"/>
        </w:rPr>
        <w:t>;</w:t>
      </w:r>
      <w:r w:rsidR="008A1BE2" w:rsidRPr="0037647B">
        <w:rPr>
          <w:snapToGrid w:val="0"/>
          <w:color w:val="000000" w:themeColor="text1"/>
          <w:lang w:val="es-ES"/>
        </w:rPr>
        <w:t xml:space="preserve"> sin importar el patrocinio, están sujetas a estas políticas y procedimientos si uno o más de lo siguiente aplica:</w:t>
      </w:r>
    </w:p>
    <w:p w:rsidR="008A1BE2" w:rsidRPr="0037647B" w:rsidRDefault="008A1BE2" w:rsidP="00341F5A">
      <w:pPr>
        <w:pStyle w:val="List-Level1"/>
        <w:numPr>
          <w:ilvl w:val="0"/>
          <w:numId w:val="9"/>
        </w:numPr>
        <w:jc w:val="both"/>
        <w:rPr>
          <w:color w:val="000000" w:themeColor="text1"/>
          <w:lang w:val="es-ES"/>
        </w:rPr>
      </w:pPr>
      <w:r w:rsidRPr="0037647B">
        <w:rPr>
          <w:color w:val="000000" w:themeColor="text1"/>
          <w:lang w:val="es-ES"/>
        </w:rPr>
        <w:t>La investigación es patrocinada por autoridades institucionales</w:t>
      </w:r>
      <w:r w:rsidR="00341F5A">
        <w:rPr>
          <w:color w:val="000000" w:themeColor="text1"/>
          <w:lang w:val="es-ES"/>
        </w:rPr>
        <w:t xml:space="preserve"> a través de </w:t>
      </w:r>
      <w:r w:rsidR="003361E6" w:rsidRPr="0037647B">
        <w:rPr>
          <w:color w:val="000000" w:themeColor="text1"/>
          <w:lang w:val="es-ES"/>
        </w:rPr>
        <w:t xml:space="preserve">becas internas o programas para el apoyo de la investigación como CONACYT entre otros, </w:t>
      </w:r>
      <w:r w:rsidRPr="0037647B">
        <w:rPr>
          <w:color w:val="000000" w:themeColor="text1"/>
          <w:lang w:val="es-ES"/>
        </w:rPr>
        <w:t xml:space="preserve"> y/o;  </w:t>
      </w:r>
    </w:p>
    <w:p w:rsidR="008A1BE2" w:rsidRPr="0037647B" w:rsidRDefault="008A1BE2" w:rsidP="00341F5A">
      <w:pPr>
        <w:pStyle w:val="List-Level1"/>
        <w:numPr>
          <w:ilvl w:val="0"/>
          <w:numId w:val="9"/>
        </w:numPr>
        <w:jc w:val="both"/>
        <w:rPr>
          <w:color w:val="000000" w:themeColor="text1"/>
          <w:lang w:val="es-ES"/>
        </w:rPr>
      </w:pPr>
      <w:r w:rsidRPr="0037647B">
        <w:rPr>
          <w:color w:val="000000" w:themeColor="text1"/>
          <w:lang w:val="es-ES"/>
        </w:rPr>
        <w:t>La investigación es conducida por medio de o bajo la dirección de cualquier empleado, profesorado, personal, estudiante o agente de la institución en relación a sus responsabilidades institucionales; y/o</w:t>
      </w:r>
    </w:p>
    <w:p w:rsidR="008A1BE2" w:rsidRPr="0037647B" w:rsidRDefault="008A1BE2" w:rsidP="00341F5A">
      <w:pPr>
        <w:pStyle w:val="List-Level1"/>
        <w:numPr>
          <w:ilvl w:val="0"/>
          <w:numId w:val="9"/>
        </w:numPr>
        <w:jc w:val="both"/>
        <w:rPr>
          <w:color w:val="000000" w:themeColor="text1"/>
          <w:lang w:val="es-ES"/>
        </w:rPr>
      </w:pPr>
      <w:r w:rsidRPr="0037647B">
        <w:rPr>
          <w:color w:val="000000" w:themeColor="text1"/>
          <w:lang w:val="es-ES"/>
        </w:rPr>
        <w:t xml:space="preserve">La investigación </w:t>
      </w:r>
      <w:r w:rsidR="007D630D" w:rsidRPr="0037647B">
        <w:rPr>
          <w:color w:val="000000" w:themeColor="text1"/>
          <w:lang w:val="es-ES"/>
        </w:rPr>
        <w:t xml:space="preserve">será conducida </w:t>
      </w:r>
      <w:r w:rsidRPr="0037647B">
        <w:rPr>
          <w:color w:val="000000" w:themeColor="text1"/>
          <w:lang w:val="es-ES"/>
        </w:rPr>
        <w:t xml:space="preserve">bajo la dirección de </w:t>
      </w:r>
      <w:r w:rsidR="007D630D" w:rsidRPr="0037647B">
        <w:rPr>
          <w:color w:val="000000" w:themeColor="text1"/>
          <w:lang w:val="es-ES"/>
        </w:rPr>
        <w:t xml:space="preserve">un </w:t>
      </w:r>
      <w:r w:rsidR="00FD446A" w:rsidRPr="0037647B">
        <w:rPr>
          <w:color w:val="000000" w:themeColor="text1"/>
          <w:lang w:val="es-ES"/>
        </w:rPr>
        <w:t>p</w:t>
      </w:r>
      <w:r w:rsidR="007D630D" w:rsidRPr="0037647B">
        <w:rPr>
          <w:color w:val="000000" w:themeColor="text1"/>
          <w:lang w:val="es-ES"/>
        </w:rPr>
        <w:t>rofesional docente o no docente con reconocimiento institucional, en el caso de investigación con razones académicas</w:t>
      </w:r>
      <w:r w:rsidR="00FD446A" w:rsidRPr="0037647B">
        <w:rPr>
          <w:color w:val="000000" w:themeColor="text1"/>
          <w:lang w:val="es-ES"/>
        </w:rPr>
        <w:t>,</w:t>
      </w:r>
      <w:r w:rsidR="007D630D" w:rsidRPr="0037647B">
        <w:rPr>
          <w:color w:val="000000" w:themeColor="text1"/>
          <w:lang w:val="es-ES"/>
        </w:rPr>
        <w:t xml:space="preserve"> como con el caso de estudiantes de pregrado o posgrado para obtener su titulo, esta deberá ser supervisada por un </w:t>
      </w:r>
      <w:r w:rsidR="00FD446A" w:rsidRPr="0037647B">
        <w:rPr>
          <w:color w:val="000000" w:themeColor="text1"/>
          <w:lang w:val="es-ES"/>
        </w:rPr>
        <w:t>p</w:t>
      </w:r>
      <w:r w:rsidR="007D630D" w:rsidRPr="0037647B">
        <w:rPr>
          <w:color w:val="000000" w:themeColor="text1"/>
          <w:lang w:val="es-ES"/>
        </w:rPr>
        <w:t>rofesor docente o no docente con reconocimiento institucional.</w:t>
      </w:r>
    </w:p>
    <w:p w:rsidR="008A1BE2" w:rsidRPr="0037647B" w:rsidRDefault="008A1BE2" w:rsidP="00DB53D2">
      <w:pPr>
        <w:jc w:val="both"/>
        <w:rPr>
          <w:rFonts w:ascii="Arial" w:hAnsi="Arial" w:cs="Arial"/>
          <w:color w:val="000000" w:themeColor="text1"/>
        </w:rPr>
      </w:pPr>
    </w:p>
    <w:p w:rsidR="008A1BE2" w:rsidRPr="0037647B" w:rsidRDefault="008A1BE2" w:rsidP="00341F5A">
      <w:pPr>
        <w:ind w:left="426"/>
        <w:jc w:val="both"/>
        <w:rPr>
          <w:rFonts w:ascii="Arial" w:hAnsi="Arial" w:cs="Arial"/>
          <w:color w:val="000000" w:themeColor="text1"/>
        </w:rPr>
      </w:pPr>
      <w:r w:rsidRPr="0037647B">
        <w:rPr>
          <w:rFonts w:ascii="Arial" w:hAnsi="Arial" w:cs="Arial"/>
          <w:color w:val="000000" w:themeColor="text1"/>
        </w:rPr>
        <w:t xml:space="preserve">El </w:t>
      </w:r>
      <w:r w:rsidR="006F6B4E" w:rsidRPr="0037647B">
        <w:rPr>
          <w:rFonts w:ascii="Arial" w:hAnsi="Arial" w:cs="Arial"/>
          <w:color w:val="000000" w:themeColor="text1"/>
        </w:rPr>
        <w:t>CEI</w:t>
      </w:r>
      <w:r w:rsidRPr="0037647B">
        <w:rPr>
          <w:rFonts w:ascii="Arial" w:hAnsi="Arial" w:cs="Arial"/>
          <w:color w:val="000000" w:themeColor="text1"/>
        </w:rPr>
        <w:t xml:space="preserve">  tiene la autoridad de asegurarse que la investigación está diseñada y conducida de manera que proteja los derechos y el bienestar de los sujetos participantes. Específicamente: </w:t>
      </w:r>
    </w:p>
    <w:p w:rsidR="008A1BE2" w:rsidRPr="0037647B" w:rsidRDefault="008A1BE2" w:rsidP="00DB53D2">
      <w:pPr>
        <w:jc w:val="both"/>
        <w:rPr>
          <w:rFonts w:ascii="Arial" w:hAnsi="Arial" w:cs="Arial"/>
          <w:color w:val="000000" w:themeColor="text1"/>
        </w:rPr>
      </w:pPr>
    </w:p>
    <w:p w:rsidR="008A1BE2" w:rsidRPr="0037647B" w:rsidRDefault="006F6B4E" w:rsidP="00341F5A">
      <w:pPr>
        <w:pStyle w:val="List-Level1"/>
        <w:numPr>
          <w:ilvl w:val="0"/>
          <w:numId w:val="8"/>
        </w:numPr>
        <w:ind w:left="1134" w:hanging="283"/>
        <w:jc w:val="both"/>
        <w:rPr>
          <w:color w:val="000000" w:themeColor="text1"/>
          <w:lang w:val="es-ES"/>
        </w:rPr>
      </w:pPr>
      <w:r w:rsidRPr="0037647B">
        <w:rPr>
          <w:color w:val="000000" w:themeColor="text1"/>
          <w:lang w:val="es-ES"/>
        </w:rPr>
        <w:t>El CEI</w:t>
      </w:r>
      <w:r w:rsidR="008A1BE2" w:rsidRPr="0037647B">
        <w:rPr>
          <w:color w:val="000000" w:themeColor="text1"/>
          <w:lang w:val="es-ES"/>
        </w:rPr>
        <w:t xml:space="preserve"> puede desaprobar, modificar o aprobar los estudios basados en la consideración de los aspectos de la protección del sujeto humano;  </w:t>
      </w:r>
    </w:p>
    <w:p w:rsidR="008A1BE2" w:rsidRPr="0037647B" w:rsidRDefault="006F6B4E" w:rsidP="00341F5A">
      <w:pPr>
        <w:pStyle w:val="List-Level1"/>
        <w:numPr>
          <w:ilvl w:val="0"/>
          <w:numId w:val="8"/>
        </w:numPr>
        <w:ind w:hanging="283"/>
        <w:jc w:val="both"/>
        <w:rPr>
          <w:color w:val="000000" w:themeColor="text1"/>
          <w:lang w:val="es-ES"/>
        </w:rPr>
      </w:pPr>
      <w:r w:rsidRPr="0037647B">
        <w:rPr>
          <w:color w:val="000000" w:themeColor="text1"/>
          <w:lang w:val="es-ES"/>
        </w:rPr>
        <w:lastRenderedPageBreak/>
        <w:t>El CEI</w:t>
      </w:r>
      <w:r w:rsidR="008A1BE2" w:rsidRPr="0037647B">
        <w:rPr>
          <w:color w:val="000000" w:themeColor="text1"/>
          <w:lang w:val="es-ES"/>
        </w:rPr>
        <w:t xml:space="preserve"> revisa y tienen la autoridad de aprobar, de requerir modificación, o de desaprobar todas las actividades de la investigación que estén dentro de su jurisdicción;  </w:t>
      </w:r>
    </w:p>
    <w:p w:rsidR="00341F5A" w:rsidRDefault="00341F5A" w:rsidP="00341F5A">
      <w:pPr>
        <w:pStyle w:val="List-Level1"/>
        <w:tabs>
          <w:tab w:val="clear" w:pos="720"/>
          <w:tab w:val="num" w:pos="426"/>
        </w:tabs>
        <w:ind w:left="426" w:hanging="283"/>
        <w:jc w:val="both"/>
        <w:rPr>
          <w:color w:val="000000" w:themeColor="text1"/>
          <w:lang w:val="es-ES"/>
        </w:rPr>
      </w:pPr>
    </w:p>
    <w:p w:rsidR="008A1BE2" w:rsidRPr="0037647B" w:rsidRDefault="006F6B4E" w:rsidP="00341F5A">
      <w:pPr>
        <w:pStyle w:val="List-Level1"/>
        <w:numPr>
          <w:ilvl w:val="0"/>
          <w:numId w:val="8"/>
        </w:numPr>
        <w:ind w:hanging="283"/>
        <w:jc w:val="both"/>
        <w:rPr>
          <w:color w:val="000000" w:themeColor="text1"/>
          <w:lang w:val="es-ES"/>
        </w:rPr>
      </w:pPr>
      <w:r w:rsidRPr="0037647B">
        <w:rPr>
          <w:color w:val="000000" w:themeColor="text1"/>
          <w:lang w:val="es-ES"/>
        </w:rPr>
        <w:t>El CEI</w:t>
      </w:r>
      <w:r w:rsidR="008A1BE2" w:rsidRPr="0037647B">
        <w:rPr>
          <w:color w:val="000000" w:themeColor="text1"/>
          <w:lang w:val="es-ES"/>
        </w:rPr>
        <w:t xml:space="preserve"> tiene la autoridad de conducir una revisión continua como considere necesario para proteger los derechos y el bienestar de los sujetos </w:t>
      </w:r>
      <w:r w:rsidR="00FD446A" w:rsidRPr="0037647B">
        <w:rPr>
          <w:color w:val="000000" w:themeColor="text1"/>
          <w:lang w:val="es-ES"/>
        </w:rPr>
        <w:t>en</w:t>
      </w:r>
      <w:r w:rsidR="008A1BE2" w:rsidRPr="0037647B">
        <w:rPr>
          <w:color w:val="000000" w:themeColor="text1"/>
          <w:lang w:val="es-ES"/>
        </w:rPr>
        <w:t xml:space="preserve"> investigación, incluyendo los reportes de avance requeridos de los </w:t>
      </w:r>
      <w:r w:rsidR="00FD446A" w:rsidRPr="0037647B">
        <w:rPr>
          <w:color w:val="000000" w:themeColor="text1"/>
          <w:lang w:val="es-ES"/>
        </w:rPr>
        <w:t>i</w:t>
      </w:r>
      <w:r w:rsidR="008A1BE2" w:rsidRPr="0037647B">
        <w:rPr>
          <w:color w:val="000000" w:themeColor="text1"/>
          <w:lang w:val="es-ES"/>
        </w:rPr>
        <w:t>nvestigadores</w:t>
      </w:r>
      <w:r w:rsidR="00FD446A" w:rsidRPr="0037647B">
        <w:rPr>
          <w:color w:val="000000" w:themeColor="text1"/>
          <w:lang w:val="es-ES"/>
        </w:rPr>
        <w:t>,</w:t>
      </w:r>
      <w:r w:rsidR="008A1BE2" w:rsidRPr="0037647B">
        <w:rPr>
          <w:color w:val="000000" w:themeColor="text1"/>
          <w:lang w:val="es-ES"/>
        </w:rPr>
        <w:t xml:space="preserve"> auditoría de la conducción del estudio, y la observación del proceso del consentimiento informado y/o audit</w:t>
      </w:r>
      <w:r w:rsidR="00FD446A" w:rsidRPr="0037647B">
        <w:rPr>
          <w:color w:val="000000" w:themeColor="text1"/>
          <w:lang w:val="es-ES"/>
        </w:rPr>
        <w:t>oría d</w:t>
      </w:r>
      <w:r w:rsidR="008A1BE2" w:rsidRPr="0037647B">
        <w:rPr>
          <w:color w:val="000000" w:themeColor="text1"/>
          <w:lang w:val="es-ES"/>
        </w:rPr>
        <w:t xml:space="preserve">el progreso de cualquier estudio bajo su jurisdicción como considere necesario para proteger los derechos y el bienestar de los sujetos humanos;  </w:t>
      </w:r>
    </w:p>
    <w:p w:rsidR="00341F5A" w:rsidRDefault="00341F5A" w:rsidP="00341F5A">
      <w:pPr>
        <w:pStyle w:val="List-Level1"/>
        <w:ind w:left="720" w:hanging="283"/>
        <w:jc w:val="both"/>
        <w:rPr>
          <w:color w:val="000000" w:themeColor="text1"/>
          <w:lang w:val="es-ES"/>
        </w:rPr>
      </w:pPr>
    </w:p>
    <w:p w:rsidR="008A1BE2" w:rsidRPr="0037647B" w:rsidRDefault="006F6B4E" w:rsidP="00341F5A">
      <w:pPr>
        <w:pStyle w:val="List-Level1"/>
        <w:numPr>
          <w:ilvl w:val="0"/>
          <w:numId w:val="8"/>
        </w:numPr>
        <w:ind w:hanging="283"/>
        <w:jc w:val="both"/>
        <w:rPr>
          <w:color w:val="000000" w:themeColor="text1"/>
          <w:lang w:val="es-ES"/>
        </w:rPr>
      </w:pPr>
      <w:r w:rsidRPr="0037647B">
        <w:rPr>
          <w:color w:val="000000" w:themeColor="text1"/>
          <w:lang w:val="es-ES"/>
        </w:rPr>
        <w:t>El CEI</w:t>
      </w:r>
      <w:r w:rsidR="008A1BE2" w:rsidRPr="0037647B">
        <w:rPr>
          <w:color w:val="000000" w:themeColor="text1"/>
          <w:lang w:val="es-ES"/>
        </w:rPr>
        <w:t xml:space="preserve"> puede suspender o terminar la aprobación de un estudio; y</w:t>
      </w:r>
    </w:p>
    <w:p w:rsidR="00341F5A" w:rsidRDefault="00341F5A" w:rsidP="00341F5A">
      <w:pPr>
        <w:pStyle w:val="List-Level1"/>
        <w:ind w:left="720" w:hanging="283"/>
        <w:jc w:val="both"/>
        <w:rPr>
          <w:color w:val="000000" w:themeColor="text1"/>
          <w:lang w:val="es-ES"/>
        </w:rPr>
      </w:pPr>
    </w:p>
    <w:p w:rsidR="008A1BE2" w:rsidRPr="0037647B" w:rsidRDefault="006F6B4E" w:rsidP="00341F5A">
      <w:pPr>
        <w:pStyle w:val="List-Level1"/>
        <w:numPr>
          <w:ilvl w:val="0"/>
          <w:numId w:val="8"/>
        </w:numPr>
        <w:ind w:hanging="283"/>
        <w:jc w:val="both"/>
        <w:rPr>
          <w:color w:val="000000" w:themeColor="text1"/>
          <w:lang w:val="es-ES"/>
        </w:rPr>
      </w:pPr>
      <w:r w:rsidRPr="0037647B">
        <w:rPr>
          <w:color w:val="000000" w:themeColor="text1"/>
          <w:lang w:val="es-ES"/>
        </w:rPr>
        <w:t>El CEI</w:t>
      </w:r>
      <w:r w:rsidR="008A1BE2" w:rsidRPr="0037647B">
        <w:rPr>
          <w:color w:val="000000" w:themeColor="text1"/>
          <w:lang w:val="es-ES"/>
        </w:rPr>
        <w:t xml:space="preserve"> puede poner restricciones en un estudio.</w:t>
      </w:r>
    </w:p>
    <w:p w:rsidR="008A1BE2" w:rsidRPr="0037647B" w:rsidRDefault="008A1BE2" w:rsidP="00DB53D2">
      <w:pPr>
        <w:pStyle w:val="List-Level1"/>
        <w:tabs>
          <w:tab w:val="clear" w:pos="720"/>
        </w:tabs>
        <w:ind w:left="360" w:firstLine="0"/>
        <w:jc w:val="both"/>
        <w:rPr>
          <w:color w:val="000000" w:themeColor="text1"/>
          <w:lang w:val="es-ES"/>
        </w:rPr>
      </w:pPr>
    </w:p>
    <w:p w:rsidR="008A1BE2" w:rsidRPr="0037647B" w:rsidRDefault="008A1BE2" w:rsidP="00DB53D2">
      <w:pPr>
        <w:pStyle w:val="level1bodystyle"/>
        <w:jc w:val="both"/>
        <w:rPr>
          <w:color w:val="000000" w:themeColor="text1"/>
          <w:lang w:val="es-ES"/>
        </w:rPr>
      </w:pPr>
      <w:r w:rsidRPr="0037647B">
        <w:rPr>
          <w:color w:val="000000" w:themeColor="text1"/>
          <w:lang w:val="es-ES"/>
        </w:rPr>
        <w:t>Con respecto a la investigación financiada</w:t>
      </w:r>
      <w:r w:rsidR="003361E6" w:rsidRPr="0037647B">
        <w:rPr>
          <w:color w:val="000000" w:themeColor="text1"/>
          <w:lang w:val="es-ES"/>
        </w:rPr>
        <w:t xml:space="preserve"> a través de cualquier programa de apoyo federal</w:t>
      </w:r>
      <w:r w:rsidR="00FD446A" w:rsidRPr="0037647B">
        <w:rPr>
          <w:color w:val="000000" w:themeColor="text1"/>
          <w:lang w:val="es-ES"/>
        </w:rPr>
        <w:t>,</w:t>
      </w:r>
      <w:r w:rsidR="003361E6" w:rsidRPr="0037647B">
        <w:rPr>
          <w:color w:val="000000" w:themeColor="text1"/>
          <w:lang w:val="es-ES"/>
        </w:rPr>
        <w:t xml:space="preserve"> a través de las diferentes secretarias</w:t>
      </w:r>
      <w:r w:rsidR="00FD446A" w:rsidRPr="0037647B">
        <w:rPr>
          <w:color w:val="000000" w:themeColor="text1"/>
          <w:lang w:val="es-ES"/>
        </w:rPr>
        <w:t>,</w:t>
      </w:r>
      <w:r w:rsidR="003361E6" w:rsidRPr="0037647B">
        <w:rPr>
          <w:color w:val="000000" w:themeColor="text1"/>
          <w:lang w:val="es-ES"/>
        </w:rPr>
        <w:t xml:space="preserve"> como lo es la Secretaria de Educación Pública o cualquier otra que aplique</w:t>
      </w:r>
      <w:r w:rsidRPr="0037647B">
        <w:rPr>
          <w:color w:val="000000" w:themeColor="text1"/>
          <w:lang w:val="es-ES"/>
        </w:rPr>
        <w:t xml:space="preserve">, el protocolo debe ser revisado por nuestro </w:t>
      </w:r>
      <w:r w:rsidR="006F6B4E" w:rsidRPr="0037647B">
        <w:rPr>
          <w:color w:val="000000" w:themeColor="text1"/>
          <w:lang w:val="es-ES"/>
        </w:rPr>
        <w:t>CEI</w:t>
      </w:r>
      <w:r w:rsidRPr="0037647B">
        <w:rPr>
          <w:color w:val="000000" w:themeColor="text1"/>
          <w:lang w:val="es-ES"/>
        </w:rPr>
        <w:t xml:space="preserve"> antes o cuando la aplicación sea procesada y antes del gasto de cualquier fondo concedido.</w:t>
      </w:r>
    </w:p>
    <w:p w:rsidR="007D630D" w:rsidRPr="0037647B" w:rsidRDefault="008A1BE2" w:rsidP="00DB53D2">
      <w:pPr>
        <w:pStyle w:val="level1bodystyle"/>
        <w:jc w:val="both"/>
        <w:rPr>
          <w:color w:val="000000" w:themeColor="text1"/>
          <w:lang w:val="es-ES"/>
        </w:rPr>
      </w:pPr>
      <w:r w:rsidRPr="0037647B">
        <w:rPr>
          <w:color w:val="000000" w:themeColor="text1"/>
          <w:lang w:val="es-ES"/>
        </w:rPr>
        <w:t xml:space="preserve">Nuestro </w:t>
      </w:r>
      <w:r w:rsidR="006F6B4E" w:rsidRPr="0037647B">
        <w:rPr>
          <w:color w:val="000000" w:themeColor="text1"/>
          <w:lang w:val="es-ES"/>
        </w:rPr>
        <w:t>CEI</w:t>
      </w:r>
      <w:r w:rsidRPr="0037647B">
        <w:rPr>
          <w:color w:val="000000" w:themeColor="text1"/>
          <w:lang w:val="es-ES"/>
        </w:rPr>
        <w:t xml:space="preserve"> también tiene una relación con otros </w:t>
      </w:r>
      <w:r w:rsidR="00FD446A" w:rsidRPr="0037647B">
        <w:rPr>
          <w:color w:val="000000" w:themeColor="text1"/>
          <w:lang w:val="es-ES"/>
        </w:rPr>
        <w:t>c</w:t>
      </w:r>
      <w:r w:rsidRPr="0037647B">
        <w:rPr>
          <w:color w:val="000000" w:themeColor="text1"/>
          <w:lang w:val="es-ES"/>
        </w:rPr>
        <w:t>omités institucionales</w:t>
      </w:r>
      <w:r w:rsidR="00FD446A" w:rsidRPr="0037647B">
        <w:rPr>
          <w:color w:val="000000" w:themeColor="text1"/>
          <w:lang w:val="es-ES"/>
        </w:rPr>
        <w:t>, y trabaja de manera</w:t>
      </w:r>
      <w:r w:rsidR="007D630D" w:rsidRPr="0037647B">
        <w:rPr>
          <w:color w:val="000000" w:themeColor="text1"/>
          <w:lang w:val="es-ES"/>
        </w:rPr>
        <w:t xml:space="preserve"> independiente</w:t>
      </w:r>
      <w:r w:rsidRPr="0037647B">
        <w:rPr>
          <w:color w:val="000000" w:themeColor="text1"/>
          <w:lang w:val="es-ES"/>
        </w:rPr>
        <w:t xml:space="preserve">, pero en coordinación con esos otros </w:t>
      </w:r>
      <w:r w:rsidR="00FD446A" w:rsidRPr="0037647B">
        <w:rPr>
          <w:color w:val="000000" w:themeColor="text1"/>
          <w:lang w:val="es-ES"/>
        </w:rPr>
        <w:t>c</w:t>
      </w:r>
      <w:r w:rsidRPr="0037647B">
        <w:rPr>
          <w:color w:val="000000" w:themeColor="text1"/>
          <w:lang w:val="es-ES"/>
        </w:rPr>
        <w:t>omités. </w:t>
      </w:r>
    </w:p>
    <w:p w:rsidR="008A1BE2" w:rsidRPr="0037647B" w:rsidRDefault="008A1BE2" w:rsidP="00DB53D2">
      <w:pPr>
        <w:pStyle w:val="level1bodystyle"/>
        <w:jc w:val="both"/>
        <w:rPr>
          <w:color w:val="000000" w:themeColor="text1"/>
          <w:lang w:val="es-ES"/>
        </w:rPr>
      </w:pPr>
      <w:r w:rsidRPr="0037647B">
        <w:rPr>
          <w:color w:val="000000" w:themeColor="text1"/>
          <w:lang w:val="es-ES"/>
        </w:rPr>
        <w:t xml:space="preserve">La investigación que ha sido revisada y aprobada por nosotros, puede ser tema para revisión y desaprobación por otros </w:t>
      </w:r>
      <w:r w:rsidR="001E1D18" w:rsidRPr="0037647B">
        <w:rPr>
          <w:color w:val="000000" w:themeColor="text1"/>
          <w:lang w:val="es-ES"/>
        </w:rPr>
        <w:t>c</w:t>
      </w:r>
      <w:r w:rsidRPr="0037647B">
        <w:rPr>
          <w:color w:val="000000" w:themeColor="text1"/>
          <w:lang w:val="es-ES"/>
        </w:rPr>
        <w:t xml:space="preserve">omités. Sin embargo, esos </w:t>
      </w:r>
      <w:r w:rsidR="001E1D18" w:rsidRPr="0037647B">
        <w:rPr>
          <w:color w:val="000000" w:themeColor="text1"/>
          <w:lang w:val="es-ES"/>
        </w:rPr>
        <w:t>c</w:t>
      </w:r>
      <w:r w:rsidRPr="0037647B">
        <w:rPr>
          <w:color w:val="000000" w:themeColor="text1"/>
          <w:lang w:val="es-ES"/>
        </w:rPr>
        <w:t xml:space="preserve">omités </w:t>
      </w:r>
      <w:r w:rsidR="00E90EEF" w:rsidRPr="0037647B">
        <w:rPr>
          <w:color w:val="000000" w:themeColor="text1"/>
          <w:lang w:val="es-ES"/>
        </w:rPr>
        <w:t xml:space="preserve">externos </w:t>
      </w:r>
      <w:r w:rsidR="001E1D18" w:rsidRPr="0037647B">
        <w:rPr>
          <w:color w:val="000000" w:themeColor="text1"/>
          <w:lang w:val="es-ES"/>
        </w:rPr>
        <w:t>que no forman parte de nuestra</w:t>
      </w:r>
      <w:r w:rsidR="00E90EEF" w:rsidRPr="0037647B">
        <w:rPr>
          <w:color w:val="000000" w:themeColor="text1"/>
          <w:lang w:val="es-ES"/>
        </w:rPr>
        <w:t xml:space="preserve"> </w:t>
      </w:r>
      <w:r w:rsidR="001E1D18" w:rsidRPr="0037647B">
        <w:rPr>
          <w:color w:val="000000" w:themeColor="text1"/>
          <w:lang w:val="es-ES"/>
        </w:rPr>
        <w:t>i</w:t>
      </w:r>
      <w:r w:rsidR="00E90EEF" w:rsidRPr="0037647B">
        <w:rPr>
          <w:color w:val="000000" w:themeColor="text1"/>
          <w:lang w:val="es-ES"/>
        </w:rPr>
        <w:t xml:space="preserve">nstitución </w:t>
      </w:r>
      <w:r w:rsidRPr="0037647B">
        <w:rPr>
          <w:color w:val="000000" w:themeColor="text1"/>
          <w:lang w:val="es-ES"/>
        </w:rPr>
        <w:t xml:space="preserve">no </w:t>
      </w:r>
      <w:r w:rsidR="00E90EEF" w:rsidRPr="0037647B">
        <w:rPr>
          <w:color w:val="000000" w:themeColor="text1"/>
          <w:lang w:val="es-ES"/>
        </w:rPr>
        <w:t xml:space="preserve">podrán </w:t>
      </w:r>
      <w:r w:rsidRPr="0037647B">
        <w:rPr>
          <w:color w:val="000000" w:themeColor="text1"/>
          <w:lang w:val="es-ES"/>
        </w:rPr>
        <w:t xml:space="preserve"> aprobar la investigación si ha sido desaprobada por nuestro </w:t>
      </w:r>
      <w:r w:rsidR="006F6B4E" w:rsidRPr="0037647B">
        <w:rPr>
          <w:color w:val="000000" w:themeColor="text1"/>
          <w:lang w:val="es-ES"/>
        </w:rPr>
        <w:t>CEI</w:t>
      </w:r>
      <w:r w:rsidR="001E1D18" w:rsidRPr="0037647B">
        <w:rPr>
          <w:color w:val="000000" w:themeColor="text1"/>
          <w:lang w:val="es-ES"/>
        </w:rPr>
        <w:t>,</w:t>
      </w:r>
      <w:r w:rsidR="00E90EEF" w:rsidRPr="0037647B">
        <w:rPr>
          <w:color w:val="000000" w:themeColor="text1"/>
          <w:lang w:val="es-ES"/>
        </w:rPr>
        <w:t xml:space="preserve"> y tampoco podrán aprobar estudios para que estos sean efectuados en nuestra </w:t>
      </w:r>
      <w:r w:rsidR="001E1D18" w:rsidRPr="0037647B">
        <w:rPr>
          <w:color w:val="000000" w:themeColor="text1"/>
          <w:lang w:val="es-ES"/>
        </w:rPr>
        <w:t>i</w:t>
      </w:r>
      <w:r w:rsidR="00E90EEF" w:rsidRPr="0037647B">
        <w:rPr>
          <w:color w:val="000000" w:themeColor="text1"/>
          <w:lang w:val="es-ES"/>
        </w:rPr>
        <w:t xml:space="preserve">nstitución. </w:t>
      </w:r>
      <w:r w:rsidR="003361E6" w:rsidRPr="0037647B">
        <w:rPr>
          <w:color w:val="000000" w:themeColor="text1"/>
          <w:lang w:val="es-ES"/>
        </w:rPr>
        <w:t xml:space="preserve">Nuestro Comité es el único que puede aprobar cualquier estudio de investigación que se efectuará en nuestra institución. </w:t>
      </w:r>
    </w:p>
    <w:p w:rsidR="00C34F96" w:rsidRPr="0037647B" w:rsidRDefault="006F6B4E" w:rsidP="006F6B4E">
      <w:pPr>
        <w:pStyle w:val="level1bodystyle"/>
        <w:ind w:left="0"/>
        <w:jc w:val="both"/>
        <w:rPr>
          <w:b/>
          <w:color w:val="000000" w:themeColor="text1"/>
          <w:lang w:val="es-ES"/>
        </w:rPr>
      </w:pPr>
      <w:r w:rsidRPr="0037647B">
        <w:rPr>
          <w:b/>
          <w:color w:val="000000" w:themeColor="text1"/>
          <w:lang w:val="es-ES"/>
        </w:rPr>
        <w:t>3.</w:t>
      </w:r>
      <w:r w:rsidRPr="0037647B">
        <w:rPr>
          <w:b/>
          <w:color w:val="000000" w:themeColor="text1"/>
          <w:lang w:val="es-ES"/>
        </w:rPr>
        <w:tab/>
      </w:r>
      <w:r w:rsidR="007703F1" w:rsidRPr="0037647B">
        <w:rPr>
          <w:b/>
          <w:color w:val="000000" w:themeColor="text1"/>
          <w:lang w:val="es-ES"/>
        </w:rPr>
        <w:t>DEFINICIONES.</w:t>
      </w:r>
    </w:p>
    <w:p w:rsidR="007703F1" w:rsidRPr="0037647B" w:rsidRDefault="00341F5A" w:rsidP="007703F1">
      <w:pPr>
        <w:pStyle w:val="level1bodystyle"/>
        <w:numPr>
          <w:ilvl w:val="0"/>
          <w:numId w:val="6"/>
        </w:numPr>
        <w:jc w:val="both"/>
        <w:rPr>
          <w:color w:val="000000" w:themeColor="text1"/>
          <w:lang w:val="es-ES"/>
        </w:rPr>
      </w:pPr>
      <w:r>
        <w:rPr>
          <w:b/>
          <w:color w:val="000000" w:themeColor="text1"/>
          <w:lang w:val="es-ES"/>
        </w:rPr>
        <w:t>Investigación clínica</w:t>
      </w:r>
      <w:r w:rsidR="00C34F96" w:rsidRPr="00341F5A">
        <w:rPr>
          <w:b/>
          <w:color w:val="000000" w:themeColor="text1"/>
          <w:lang w:val="es-ES"/>
        </w:rPr>
        <w:t>:</w:t>
      </w:r>
      <w:r w:rsidR="00C34F96" w:rsidRPr="0037647B">
        <w:rPr>
          <w:color w:val="000000" w:themeColor="text1"/>
          <w:lang w:val="es-ES"/>
        </w:rPr>
        <w:t xml:space="preserve"> Se define como una actividad de investigación que implica "seres humanos" tal como </w:t>
      </w:r>
      <w:r w:rsidR="001E1D18" w:rsidRPr="0037647B">
        <w:rPr>
          <w:color w:val="000000" w:themeColor="text1"/>
          <w:lang w:val="es-ES"/>
        </w:rPr>
        <w:t>de acuerdo a las r</w:t>
      </w:r>
      <w:r w:rsidR="00C34F96" w:rsidRPr="0037647B">
        <w:rPr>
          <w:color w:val="000000" w:themeColor="text1"/>
          <w:lang w:val="es-ES"/>
        </w:rPr>
        <w:t>egulaciones de la FDA o por el Reglamento de la Ley General de Salud en Materia de Investigación que tiene como propósito</w:t>
      </w:r>
      <w:r>
        <w:rPr>
          <w:color w:val="000000" w:themeColor="text1"/>
          <w:lang w:val="es-ES"/>
        </w:rPr>
        <w:t xml:space="preserve"> </w:t>
      </w:r>
      <w:r w:rsidR="00C34F96" w:rsidRPr="0037647B">
        <w:rPr>
          <w:color w:val="000000" w:themeColor="text1"/>
          <w:lang w:val="es-ES"/>
        </w:rPr>
        <w:t xml:space="preserve">obtener información a través de la intervención o </w:t>
      </w:r>
      <w:r w:rsidR="00C34F96" w:rsidRPr="0037647B">
        <w:rPr>
          <w:color w:val="000000" w:themeColor="text1"/>
          <w:lang w:val="es-ES"/>
        </w:rPr>
        <w:lastRenderedPageBreak/>
        <w:t xml:space="preserve">interacción con el individuo o </w:t>
      </w:r>
      <w:r w:rsidR="001E1D18" w:rsidRPr="0037647B">
        <w:rPr>
          <w:color w:val="000000" w:themeColor="text1"/>
          <w:lang w:val="es-ES"/>
        </w:rPr>
        <w:t>su</w:t>
      </w:r>
      <w:r w:rsidR="00C34F96" w:rsidRPr="0037647B">
        <w:rPr>
          <w:color w:val="000000" w:themeColor="text1"/>
          <w:lang w:val="es-ES"/>
        </w:rPr>
        <w:t xml:space="preserve"> información privada identificable</w:t>
      </w:r>
      <w:r w:rsidR="001E1D18" w:rsidRPr="0037647B">
        <w:rPr>
          <w:color w:val="000000" w:themeColor="text1"/>
          <w:lang w:val="es-ES"/>
        </w:rPr>
        <w:t>,</w:t>
      </w:r>
      <w:r w:rsidR="00E927FA" w:rsidRPr="0037647B">
        <w:rPr>
          <w:color w:val="000000" w:themeColor="text1"/>
          <w:lang w:val="es-ES"/>
        </w:rPr>
        <w:t xml:space="preserve"> ya sea por participar como control o como sujeto </w:t>
      </w:r>
      <w:r w:rsidR="001E1D18" w:rsidRPr="0037647B">
        <w:rPr>
          <w:color w:val="000000" w:themeColor="text1"/>
          <w:lang w:val="es-ES"/>
        </w:rPr>
        <w:t>en investigación</w:t>
      </w:r>
      <w:r w:rsidR="00E927FA" w:rsidRPr="0037647B">
        <w:rPr>
          <w:color w:val="000000" w:themeColor="text1"/>
          <w:lang w:val="es-ES"/>
        </w:rPr>
        <w:t>.</w:t>
      </w:r>
    </w:p>
    <w:p w:rsidR="007703F1" w:rsidRPr="0037647B" w:rsidRDefault="00C34F96" w:rsidP="007703F1">
      <w:pPr>
        <w:pStyle w:val="level1bodystyle"/>
        <w:numPr>
          <w:ilvl w:val="0"/>
          <w:numId w:val="6"/>
        </w:numPr>
        <w:jc w:val="both"/>
        <w:rPr>
          <w:color w:val="000000" w:themeColor="text1"/>
          <w:lang w:val="es-ES"/>
        </w:rPr>
      </w:pPr>
      <w:r w:rsidRPr="00341F5A">
        <w:rPr>
          <w:b/>
          <w:color w:val="000000" w:themeColor="text1"/>
          <w:lang w:val="es-ES"/>
        </w:rPr>
        <w:t>Investigación:</w:t>
      </w:r>
      <w:r w:rsidRPr="0037647B">
        <w:rPr>
          <w:color w:val="000000" w:themeColor="text1"/>
          <w:lang w:val="es-ES"/>
        </w:rPr>
        <w:t xml:space="preserve"> Es un proceso sistem</w:t>
      </w:r>
      <w:r w:rsidR="001E1D18" w:rsidRPr="0037647B">
        <w:rPr>
          <w:color w:val="000000" w:themeColor="text1"/>
          <w:lang w:val="es-ES"/>
        </w:rPr>
        <w:t>á</w:t>
      </w:r>
      <w:r w:rsidRPr="0037647B">
        <w:rPr>
          <w:color w:val="000000" w:themeColor="text1"/>
          <w:lang w:val="es-ES"/>
        </w:rPr>
        <w:t>tico que tiene como propósito contribuir al conocimiento generalizable. Este proceso puede o no ser financiada por organi</w:t>
      </w:r>
      <w:r w:rsidR="001E1D18" w:rsidRPr="0037647B">
        <w:rPr>
          <w:color w:val="000000" w:themeColor="text1"/>
          <w:lang w:val="es-ES"/>
        </w:rPr>
        <w:t xml:space="preserve">zaciones </w:t>
      </w:r>
      <w:r w:rsidRPr="0037647B">
        <w:rPr>
          <w:color w:val="000000" w:themeColor="text1"/>
          <w:lang w:val="es-ES"/>
        </w:rPr>
        <w:t xml:space="preserve">ajenos a nuestra </w:t>
      </w:r>
      <w:r w:rsidR="001E1D18" w:rsidRPr="0037647B">
        <w:rPr>
          <w:color w:val="000000" w:themeColor="text1"/>
          <w:lang w:val="es-ES"/>
        </w:rPr>
        <w:t>i</w:t>
      </w:r>
      <w:r w:rsidRPr="0037647B">
        <w:rPr>
          <w:color w:val="000000" w:themeColor="text1"/>
          <w:lang w:val="es-ES"/>
        </w:rPr>
        <w:t>nstitución.</w:t>
      </w:r>
    </w:p>
    <w:p w:rsidR="007703F1" w:rsidRPr="0037647B" w:rsidRDefault="00C34F96" w:rsidP="007703F1">
      <w:pPr>
        <w:pStyle w:val="level1bodystyle"/>
        <w:numPr>
          <w:ilvl w:val="0"/>
          <w:numId w:val="6"/>
        </w:numPr>
        <w:jc w:val="both"/>
        <w:rPr>
          <w:color w:val="000000" w:themeColor="text1"/>
          <w:lang w:val="es-ES"/>
        </w:rPr>
      </w:pPr>
      <w:r w:rsidRPr="00341F5A">
        <w:rPr>
          <w:b/>
          <w:color w:val="000000" w:themeColor="text1"/>
          <w:lang w:val="es-ES"/>
        </w:rPr>
        <w:t>Investigación sistemática</w:t>
      </w:r>
      <w:r w:rsidR="00D4334E" w:rsidRPr="00341F5A">
        <w:rPr>
          <w:b/>
          <w:color w:val="000000" w:themeColor="text1"/>
          <w:lang w:val="es-ES"/>
        </w:rPr>
        <w:t>:</w:t>
      </w:r>
      <w:r w:rsidR="00D4334E" w:rsidRPr="0037647B">
        <w:rPr>
          <w:color w:val="000000" w:themeColor="text1"/>
          <w:lang w:val="es-ES"/>
        </w:rPr>
        <w:t xml:space="preserve"> es una actividad que consiste en un plan de investigación prospectivo que incorpora la obtención  de datos, tanto cuantitativos como cualitativos, y el análisis de datos para responder a una pregunta de investigación. Las investigaciones encaminadas a desarrollar o contribuir al conocimiento generalizable son las diseñadas para obtener conclusiones generales (es decir, el conocimiento obtenido a partir de un estudio puede ser aplicado a poblaciones fuera de la población de estudio específico), la elaboración de políticas, o generalizar los hallazgos.</w:t>
      </w:r>
    </w:p>
    <w:p w:rsidR="007703F1" w:rsidRPr="0037647B" w:rsidRDefault="00C34F96" w:rsidP="007703F1">
      <w:pPr>
        <w:pStyle w:val="level1bodystyle"/>
        <w:numPr>
          <w:ilvl w:val="0"/>
          <w:numId w:val="6"/>
        </w:numPr>
        <w:jc w:val="both"/>
        <w:rPr>
          <w:color w:val="000000" w:themeColor="text1"/>
          <w:lang w:val="es-ES"/>
        </w:rPr>
      </w:pPr>
      <w:r w:rsidRPr="00341F5A">
        <w:rPr>
          <w:b/>
          <w:color w:val="000000" w:themeColor="text1"/>
          <w:lang w:val="es-ES"/>
        </w:rPr>
        <w:t>Sujeto Humano</w:t>
      </w:r>
      <w:r w:rsidR="00D4334E" w:rsidRPr="00341F5A">
        <w:rPr>
          <w:b/>
          <w:color w:val="000000" w:themeColor="text1"/>
          <w:lang w:val="es-ES"/>
        </w:rPr>
        <w:t>:</w:t>
      </w:r>
      <w:r w:rsidR="00D4334E" w:rsidRPr="0037647B">
        <w:rPr>
          <w:color w:val="000000" w:themeColor="text1"/>
          <w:lang w:val="es-ES"/>
        </w:rPr>
        <w:t xml:space="preserve"> un individuo vivo a través del cual un investigador (profesional o estudiante) realiza la investigación.</w:t>
      </w:r>
    </w:p>
    <w:p w:rsidR="007703F1" w:rsidRPr="0037647B" w:rsidRDefault="00C34F96" w:rsidP="007703F1">
      <w:pPr>
        <w:pStyle w:val="level1bodystyle"/>
        <w:numPr>
          <w:ilvl w:val="0"/>
          <w:numId w:val="6"/>
        </w:numPr>
        <w:jc w:val="both"/>
        <w:rPr>
          <w:color w:val="000000" w:themeColor="text1"/>
          <w:lang w:val="es-ES"/>
        </w:rPr>
      </w:pPr>
      <w:r w:rsidRPr="00341F5A">
        <w:rPr>
          <w:b/>
          <w:color w:val="000000" w:themeColor="text1"/>
          <w:lang w:val="es-ES"/>
        </w:rPr>
        <w:t>Conocimiento generalizable</w:t>
      </w:r>
      <w:r w:rsidR="00D4334E" w:rsidRPr="00341F5A">
        <w:rPr>
          <w:b/>
          <w:color w:val="000000" w:themeColor="text1"/>
          <w:lang w:val="es-ES"/>
        </w:rPr>
        <w:t>:</w:t>
      </w:r>
      <w:r w:rsidR="00D4334E" w:rsidRPr="0037647B">
        <w:rPr>
          <w:color w:val="000000" w:themeColor="text1"/>
          <w:lang w:val="es-ES"/>
        </w:rPr>
        <w:t xml:space="preserve"> Proceso mediante el cual la información obtenida</w:t>
      </w:r>
      <w:r w:rsidR="001E1D18" w:rsidRPr="0037647B">
        <w:rPr>
          <w:color w:val="000000" w:themeColor="text1"/>
          <w:lang w:val="es-ES"/>
        </w:rPr>
        <w:t>,</w:t>
      </w:r>
      <w:r w:rsidR="00D4334E" w:rsidRPr="0037647B">
        <w:rPr>
          <w:color w:val="000000" w:themeColor="text1"/>
          <w:lang w:val="es-ES"/>
        </w:rPr>
        <w:t xml:space="preserve"> a partir de una investigación</w:t>
      </w:r>
      <w:r w:rsidR="001E1D18" w:rsidRPr="0037647B">
        <w:rPr>
          <w:color w:val="000000" w:themeColor="text1"/>
          <w:lang w:val="es-ES"/>
        </w:rPr>
        <w:t>,</w:t>
      </w:r>
      <w:r w:rsidR="00D4334E" w:rsidRPr="0037647B">
        <w:rPr>
          <w:color w:val="000000" w:themeColor="text1"/>
          <w:lang w:val="es-ES"/>
        </w:rPr>
        <w:t xml:space="preserve"> va m</w:t>
      </w:r>
      <w:r w:rsidR="001E1D18" w:rsidRPr="0037647B">
        <w:rPr>
          <w:color w:val="000000" w:themeColor="text1"/>
          <w:lang w:val="es-ES"/>
        </w:rPr>
        <w:t>á</w:t>
      </w:r>
      <w:r w:rsidR="00D4334E" w:rsidRPr="0037647B">
        <w:rPr>
          <w:color w:val="000000" w:themeColor="text1"/>
          <w:lang w:val="es-ES"/>
        </w:rPr>
        <w:t>s allá de las fronteras</w:t>
      </w:r>
      <w:r w:rsidR="001E1D18" w:rsidRPr="0037647B">
        <w:rPr>
          <w:color w:val="000000" w:themeColor="text1"/>
          <w:lang w:val="es-ES"/>
        </w:rPr>
        <w:t xml:space="preserve"> </w:t>
      </w:r>
      <w:r w:rsidR="00D4334E" w:rsidRPr="0037647B">
        <w:rPr>
          <w:color w:val="000000" w:themeColor="text1"/>
          <w:lang w:val="es-ES"/>
        </w:rPr>
        <w:t>del</w:t>
      </w:r>
      <w:r w:rsidR="001E1D18" w:rsidRPr="0037647B">
        <w:rPr>
          <w:color w:val="000000" w:themeColor="text1"/>
          <w:lang w:val="es-ES"/>
        </w:rPr>
        <w:t xml:space="preserve"> i</w:t>
      </w:r>
      <w:r w:rsidR="00D4334E" w:rsidRPr="0037647B">
        <w:rPr>
          <w:color w:val="000000" w:themeColor="text1"/>
          <w:lang w:val="es-ES"/>
        </w:rPr>
        <w:t xml:space="preserve">nvestigador. Es la diseminación de los resultados de la </w:t>
      </w:r>
      <w:r w:rsidR="00CD1278" w:rsidRPr="0037647B">
        <w:rPr>
          <w:color w:val="000000" w:themeColor="text1"/>
          <w:lang w:val="es-ES"/>
        </w:rPr>
        <w:t>investigación</w:t>
      </w:r>
      <w:r w:rsidR="001E1D18" w:rsidRPr="0037647B">
        <w:rPr>
          <w:color w:val="000000" w:themeColor="text1"/>
          <w:lang w:val="es-ES"/>
        </w:rPr>
        <w:t xml:space="preserve"> </w:t>
      </w:r>
      <w:r w:rsidR="00D4334E" w:rsidRPr="0037647B">
        <w:rPr>
          <w:color w:val="000000" w:themeColor="text1"/>
          <w:lang w:val="es-ES"/>
        </w:rPr>
        <w:t>ya sea por vía internet, conferencias profesionales, publicaciones en libros o revistas</w:t>
      </w:r>
      <w:r w:rsidR="00AF4A04" w:rsidRPr="0037647B">
        <w:rPr>
          <w:color w:val="000000" w:themeColor="text1"/>
          <w:lang w:val="es-ES"/>
        </w:rPr>
        <w:t>.</w:t>
      </w:r>
    </w:p>
    <w:p w:rsidR="007703F1" w:rsidRPr="0037647B" w:rsidRDefault="007703F1" w:rsidP="007703F1">
      <w:pPr>
        <w:pStyle w:val="level1bodystyle"/>
        <w:jc w:val="both"/>
        <w:rPr>
          <w:color w:val="000000" w:themeColor="text1"/>
          <w:lang w:val="es-ES"/>
        </w:rPr>
      </w:pPr>
    </w:p>
    <w:p w:rsidR="007703F1" w:rsidRPr="0037647B" w:rsidRDefault="006F6B4E" w:rsidP="007703F1">
      <w:pPr>
        <w:pStyle w:val="level1bodystyle"/>
        <w:jc w:val="both"/>
        <w:rPr>
          <w:b/>
          <w:color w:val="000000" w:themeColor="text1"/>
          <w:lang w:val="es-ES"/>
        </w:rPr>
      </w:pPr>
      <w:r w:rsidRPr="0037647B">
        <w:rPr>
          <w:b/>
          <w:color w:val="000000" w:themeColor="text1"/>
          <w:lang w:val="es-ES"/>
        </w:rPr>
        <w:t>4. GARANTIA</w:t>
      </w:r>
      <w:r w:rsidR="007703F1" w:rsidRPr="0037647B">
        <w:rPr>
          <w:b/>
          <w:color w:val="000000" w:themeColor="text1"/>
          <w:lang w:val="es-ES"/>
        </w:rPr>
        <w:t xml:space="preserve"> DE PERMANENCIA</w:t>
      </w:r>
    </w:p>
    <w:p w:rsidR="007703F1" w:rsidRPr="0037647B" w:rsidRDefault="00AF4A04" w:rsidP="007703F1">
      <w:pPr>
        <w:pStyle w:val="level1bodystyle"/>
        <w:jc w:val="both"/>
        <w:rPr>
          <w:color w:val="000000" w:themeColor="text1"/>
          <w:lang w:val="es-ES"/>
        </w:rPr>
      </w:pPr>
      <w:r w:rsidRPr="0037647B">
        <w:rPr>
          <w:color w:val="000000" w:themeColor="text1"/>
          <w:lang w:val="es-ES"/>
        </w:rPr>
        <w:tab/>
        <w:t xml:space="preserve">La Facultad de Medicina y </w:t>
      </w:r>
      <w:r w:rsidR="006F6B4E" w:rsidRPr="0037647B">
        <w:rPr>
          <w:color w:val="000000" w:themeColor="text1"/>
          <w:lang w:val="es-ES"/>
        </w:rPr>
        <w:t>Hospital Universitario</w:t>
      </w:r>
      <w:r w:rsidRPr="0037647B">
        <w:rPr>
          <w:color w:val="000000" w:themeColor="text1"/>
          <w:lang w:val="es-ES"/>
        </w:rPr>
        <w:t xml:space="preserve"> como dependencia de la Universidad Autónoma de Nuevo León a través de la Ley Orgánica de la Universidad Autónoma de Nuevo Leó</w:t>
      </w:r>
      <w:r w:rsidR="001E1D18" w:rsidRPr="0037647B">
        <w:rPr>
          <w:color w:val="000000" w:themeColor="text1"/>
          <w:lang w:val="es-ES"/>
        </w:rPr>
        <w:t>n</w:t>
      </w:r>
      <w:r w:rsidRPr="0037647B">
        <w:rPr>
          <w:color w:val="000000" w:themeColor="text1"/>
          <w:lang w:val="es-ES"/>
        </w:rPr>
        <w:t xml:space="preserve"> como también por la ley Orgánica del Hospital Universitario, además de las regulaciones locales vigentes como el Reglamento de Investigación</w:t>
      </w:r>
      <w:r w:rsidR="00061F12" w:rsidRPr="0037647B">
        <w:rPr>
          <w:color w:val="000000" w:themeColor="text1"/>
          <w:lang w:val="es-ES"/>
        </w:rPr>
        <w:t>,</w:t>
      </w:r>
      <w:r w:rsidRPr="0037647B">
        <w:rPr>
          <w:color w:val="000000" w:themeColor="text1"/>
          <w:lang w:val="es-ES"/>
        </w:rPr>
        <w:t xml:space="preserve"> y por los recursos generados por la investigación vinculada a la Industria</w:t>
      </w:r>
      <w:r w:rsidR="00061F12" w:rsidRPr="0037647B">
        <w:rPr>
          <w:color w:val="000000" w:themeColor="text1"/>
          <w:lang w:val="es-ES"/>
        </w:rPr>
        <w:t>;</w:t>
      </w:r>
      <w:r w:rsidRPr="0037647B">
        <w:rPr>
          <w:color w:val="000000" w:themeColor="text1"/>
          <w:lang w:val="es-ES"/>
        </w:rPr>
        <w:t xml:space="preserve"> garantiza el pleno y continuo desarrollo del Programa de Protección de Sujetos en Investigación, asegurando de esta forma</w:t>
      </w:r>
      <w:r w:rsidR="00514029" w:rsidRPr="0037647B">
        <w:rPr>
          <w:color w:val="000000" w:themeColor="text1"/>
          <w:lang w:val="es-ES"/>
        </w:rPr>
        <w:t xml:space="preserve"> la continuidad del programa.</w:t>
      </w:r>
    </w:p>
    <w:p w:rsidR="00C342B0" w:rsidRPr="0037647B" w:rsidRDefault="00C342B0" w:rsidP="007703F1">
      <w:pPr>
        <w:pStyle w:val="level1bodystyle"/>
        <w:jc w:val="both"/>
        <w:rPr>
          <w:color w:val="000000" w:themeColor="text1"/>
          <w:lang w:val="es-ES"/>
        </w:rPr>
      </w:pPr>
    </w:p>
    <w:p w:rsidR="00C342B0" w:rsidRPr="0037647B" w:rsidRDefault="00C342B0" w:rsidP="007703F1">
      <w:pPr>
        <w:pStyle w:val="level1bodystyle"/>
        <w:jc w:val="both"/>
        <w:rPr>
          <w:color w:val="000000" w:themeColor="text1"/>
          <w:lang w:val="es-ES"/>
        </w:rPr>
      </w:pPr>
      <w:r w:rsidRPr="0037647B">
        <w:rPr>
          <w:color w:val="000000" w:themeColor="text1"/>
          <w:lang w:val="es-ES"/>
        </w:rPr>
        <w:t>4.1. Fuentes que apoyan la operatividad del programa de Protección para sujetos en investigación</w:t>
      </w:r>
    </w:p>
    <w:p w:rsidR="00C342B0" w:rsidRPr="0037647B" w:rsidRDefault="00C342B0" w:rsidP="007703F1">
      <w:pPr>
        <w:pStyle w:val="level1bodystyle"/>
        <w:jc w:val="both"/>
        <w:rPr>
          <w:color w:val="000000" w:themeColor="text1"/>
          <w:lang w:val="es-ES"/>
        </w:rPr>
      </w:pPr>
      <w:r w:rsidRPr="0037647B">
        <w:rPr>
          <w:color w:val="000000" w:themeColor="text1"/>
          <w:lang w:val="es-ES"/>
        </w:rPr>
        <w:lastRenderedPageBreak/>
        <w:t>Para darle continuidad a nuestro programa, existen apoyos económicos provenientes de cuotas administrativas e institucionales, garantizando de esta forma su permanencia, capacitación continua de todo el personal involucrado, así como espacio suficiente y entrenamientos especiales en aspectos médicos, legales y comunitarios.</w:t>
      </w:r>
    </w:p>
    <w:p w:rsidR="00C342B0" w:rsidRPr="0037647B" w:rsidRDefault="00C342B0" w:rsidP="007703F1">
      <w:pPr>
        <w:pStyle w:val="level1bodystyle"/>
        <w:jc w:val="both"/>
        <w:rPr>
          <w:color w:val="000000" w:themeColor="text1"/>
          <w:lang w:val="es-ES"/>
        </w:rPr>
      </w:pPr>
      <w:r w:rsidRPr="0037647B">
        <w:rPr>
          <w:color w:val="000000" w:themeColor="text1"/>
          <w:lang w:val="es-ES"/>
        </w:rPr>
        <w:t>4.1.1. Cuota Institucional</w:t>
      </w:r>
    </w:p>
    <w:p w:rsidR="00C342B0" w:rsidRPr="0037647B" w:rsidRDefault="00C342B0" w:rsidP="007703F1">
      <w:pPr>
        <w:pStyle w:val="level1bodystyle"/>
        <w:jc w:val="both"/>
        <w:rPr>
          <w:color w:val="000000" w:themeColor="text1"/>
          <w:lang w:val="es-ES"/>
        </w:rPr>
      </w:pPr>
      <w:r w:rsidRPr="0037647B">
        <w:rPr>
          <w:color w:val="000000" w:themeColor="text1"/>
          <w:lang w:val="es-ES"/>
        </w:rPr>
        <w:t>Esta cuota apoya la continuidad de todas las actividades administrativas y regulatorias. Esta aplica a toda la investigación en seres humanos que de forma total o parcial es patrocinada por la industria y que es conducida por nuestros profesores con excepción de aquella investigación que está patrocinada de:</w:t>
      </w:r>
    </w:p>
    <w:p w:rsidR="00C342B0" w:rsidRPr="0037647B" w:rsidRDefault="00C342B0" w:rsidP="00C342B0">
      <w:pPr>
        <w:pStyle w:val="level1bodystyle"/>
        <w:numPr>
          <w:ilvl w:val="0"/>
          <w:numId w:val="7"/>
        </w:numPr>
        <w:jc w:val="both"/>
        <w:rPr>
          <w:color w:val="000000" w:themeColor="text1"/>
          <w:lang w:val="es-ES"/>
        </w:rPr>
      </w:pPr>
      <w:r w:rsidRPr="0037647B">
        <w:rPr>
          <w:color w:val="000000" w:themeColor="text1"/>
          <w:lang w:val="es-ES"/>
        </w:rPr>
        <w:t>Apoyo Federal</w:t>
      </w:r>
    </w:p>
    <w:p w:rsidR="00C342B0" w:rsidRPr="0037647B" w:rsidRDefault="00C342B0" w:rsidP="00C342B0">
      <w:pPr>
        <w:pStyle w:val="level1bodystyle"/>
        <w:numPr>
          <w:ilvl w:val="0"/>
          <w:numId w:val="7"/>
        </w:numPr>
        <w:jc w:val="both"/>
        <w:rPr>
          <w:color w:val="000000" w:themeColor="text1"/>
          <w:lang w:val="es-ES"/>
        </w:rPr>
      </w:pPr>
      <w:r w:rsidRPr="0037647B">
        <w:rPr>
          <w:color w:val="000000" w:themeColor="text1"/>
          <w:lang w:val="es-ES"/>
        </w:rPr>
        <w:t>Fundaciones no lucrativas</w:t>
      </w:r>
    </w:p>
    <w:p w:rsidR="00C342B0" w:rsidRPr="0037647B" w:rsidRDefault="00C342B0" w:rsidP="00C342B0">
      <w:pPr>
        <w:pStyle w:val="level1bodystyle"/>
        <w:numPr>
          <w:ilvl w:val="0"/>
          <w:numId w:val="7"/>
        </w:numPr>
        <w:jc w:val="both"/>
        <w:rPr>
          <w:color w:val="000000" w:themeColor="text1"/>
          <w:lang w:val="es-ES"/>
        </w:rPr>
      </w:pPr>
      <w:r w:rsidRPr="0037647B">
        <w:rPr>
          <w:color w:val="000000" w:themeColor="text1"/>
          <w:lang w:val="es-ES"/>
        </w:rPr>
        <w:t>Ingresos propios de los departamentos.</w:t>
      </w:r>
    </w:p>
    <w:p w:rsidR="00E90EEF" w:rsidRPr="0037647B" w:rsidRDefault="00E90EEF" w:rsidP="00DB53D2">
      <w:pPr>
        <w:jc w:val="both"/>
        <w:rPr>
          <w:rFonts w:ascii="Arial" w:hAnsi="Arial" w:cs="Arial"/>
          <w:b/>
          <w:color w:val="000000" w:themeColor="text1"/>
        </w:rPr>
      </w:pPr>
    </w:p>
    <w:p w:rsidR="00803517" w:rsidRPr="0037647B" w:rsidRDefault="00803517" w:rsidP="00DB53D2">
      <w:pPr>
        <w:jc w:val="both"/>
        <w:rPr>
          <w:rFonts w:ascii="Arial" w:hAnsi="Arial" w:cs="Arial"/>
          <w:b/>
          <w:color w:val="000000" w:themeColor="text1"/>
        </w:rPr>
      </w:pPr>
      <w:r w:rsidRPr="0037647B">
        <w:rPr>
          <w:rFonts w:ascii="Arial" w:hAnsi="Arial" w:cs="Arial"/>
          <w:b/>
          <w:color w:val="000000" w:themeColor="text1"/>
        </w:rPr>
        <w:t>IV. RESPONSABILIDADES</w:t>
      </w:r>
    </w:p>
    <w:p w:rsidR="001B213D" w:rsidRPr="0037647B" w:rsidRDefault="001B213D" w:rsidP="00DB53D2">
      <w:pPr>
        <w:jc w:val="both"/>
        <w:rPr>
          <w:rFonts w:ascii="Arial" w:hAnsi="Arial" w:cs="Arial"/>
          <w:b/>
          <w:color w:val="000000" w:themeColor="text1"/>
        </w:rPr>
      </w:pPr>
    </w:p>
    <w:p w:rsidR="001B213D" w:rsidRPr="0037647B" w:rsidRDefault="001B213D" w:rsidP="00DB53D2">
      <w:pPr>
        <w:ind w:firstLine="708"/>
        <w:jc w:val="both"/>
        <w:rPr>
          <w:rFonts w:ascii="Arial" w:hAnsi="Arial" w:cs="Arial"/>
          <w:color w:val="000000" w:themeColor="text1"/>
          <w:lang w:val="es-MX"/>
        </w:rPr>
      </w:pPr>
      <w:r w:rsidRPr="0037647B">
        <w:rPr>
          <w:rFonts w:ascii="Arial" w:hAnsi="Arial" w:cs="Arial"/>
          <w:color w:val="000000" w:themeColor="text1"/>
          <w:lang w:val="es-MX"/>
        </w:rPr>
        <w:t xml:space="preserve">Es responsabilidad del </w:t>
      </w:r>
      <w:r w:rsidR="006F6B4E" w:rsidRPr="0037647B">
        <w:rPr>
          <w:rFonts w:ascii="Arial" w:hAnsi="Arial" w:cs="Arial"/>
          <w:color w:val="000000" w:themeColor="text1"/>
          <w:lang w:val="es-MX"/>
        </w:rPr>
        <w:t xml:space="preserve">CEI </w:t>
      </w:r>
      <w:r w:rsidRPr="0037647B">
        <w:rPr>
          <w:rFonts w:ascii="Arial" w:hAnsi="Arial" w:cs="Arial"/>
          <w:color w:val="000000" w:themeColor="text1"/>
          <w:lang w:val="es-MX"/>
        </w:rPr>
        <w:t>autorizar</w:t>
      </w:r>
      <w:r w:rsidR="00061F12" w:rsidRPr="0037647B">
        <w:rPr>
          <w:rFonts w:ascii="Arial" w:hAnsi="Arial" w:cs="Arial"/>
          <w:color w:val="000000" w:themeColor="text1"/>
          <w:lang w:val="es-MX"/>
        </w:rPr>
        <w:t xml:space="preserve"> y</w:t>
      </w:r>
      <w:r w:rsidRPr="0037647B">
        <w:rPr>
          <w:rFonts w:ascii="Arial" w:hAnsi="Arial" w:cs="Arial"/>
          <w:color w:val="000000" w:themeColor="text1"/>
          <w:lang w:val="es-MX"/>
        </w:rPr>
        <w:t xml:space="preserve"> monitorizar que todos los estudios de investigación médica en seres humanos se lleven bajo la regulación sanitaria de la Ley General de Sa</w:t>
      </w:r>
      <w:r w:rsidR="00AB4A19" w:rsidRPr="0037647B">
        <w:rPr>
          <w:rFonts w:ascii="Arial" w:hAnsi="Arial" w:cs="Arial"/>
          <w:color w:val="000000" w:themeColor="text1"/>
          <w:lang w:val="es-MX"/>
        </w:rPr>
        <w:t>lud en Materia de Investigación,</w:t>
      </w:r>
      <w:r w:rsidR="0053703C" w:rsidRPr="0037647B">
        <w:rPr>
          <w:rFonts w:ascii="Arial" w:hAnsi="Arial" w:cs="Arial"/>
          <w:color w:val="000000" w:themeColor="text1"/>
          <w:lang w:val="es-MX"/>
        </w:rPr>
        <w:t xml:space="preserve"> así como de las recomendaciones e indicaciones de la Comisión Nacional de Bioética</w:t>
      </w:r>
      <w:r w:rsidR="00AB4A19" w:rsidRPr="0037647B">
        <w:rPr>
          <w:rFonts w:ascii="Arial" w:hAnsi="Arial" w:cs="Arial"/>
          <w:color w:val="000000" w:themeColor="text1"/>
          <w:lang w:val="es-MX"/>
        </w:rPr>
        <w:t xml:space="preserve"> y que cumplan con lo requerido por las Buenas Pr</w:t>
      </w:r>
      <w:r w:rsidR="00C21D3D" w:rsidRPr="0037647B">
        <w:rPr>
          <w:rFonts w:ascii="Arial" w:hAnsi="Arial" w:cs="Arial"/>
          <w:color w:val="000000" w:themeColor="text1"/>
          <w:lang w:val="es-MX"/>
        </w:rPr>
        <w:t>á</w:t>
      </w:r>
      <w:r w:rsidR="00AB4A19" w:rsidRPr="0037647B">
        <w:rPr>
          <w:rFonts w:ascii="Arial" w:hAnsi="Arial" w:cs="Arial"/>
          <w:color w:val="000000" w:themeColor="text1"/>
          <w:lang w:val="es-MX"/>
        </w:rPr>
        <w:t>cticas Cl</w:t>
      </w:r>
      <w:r w:rsidR="00C21D3D" w:rsidRPr="0037647B">
        <w:rPr>
          <w:rFonts w:ascii="Arial" w:hAnsi="Arial" w:cs="Arial"/>
          <w:color w:val="000000" w:themeColor="text1"/>
          <w:lang w:val="es-MX"/>
        </w:rPr>
        <w:t>í</w:t>
      </w:r>
      <w:r w:rsidR="00AB4A19" w:rsidRPr="0037647B">
        <w:rPr>
          <w:rFonts w:ascii="Arial" w:hAnsi="Arial" w:cs="Arial"/>
          <w:color w:val="000000" w:themeColor="text1"/>
          <w:lang w:val="es-MX"/>
        </w:rPr>
        <w:t>nicas</w:t>
      </w:r>
      <w:r w:rsidR="00061F12" w:rsidRPr="0037647B">
        <w:rPr>
          <w:rFonts w:ascii="Arial" w:hAnsi="Arial" w:cs="Arial"/>
          <w:color w:val="000000" w:themeColor="text1"/>
          <w:lang w:val="es-MX"/>
        </w:rPr>
        <w:t xml:space="preserve"> y</w:t>
      </w:r>
      <w:r w:rsidR="00AB4A19" w:rsidRPr="0037647B">
        <w:rPr>
          <w:rFonts w:ascii="Arial" w:hAnsi="Arial" w:cs="Arial"/>
          <w:color w:val="000000" w:themeColor="text1"/>
          <w:lang w:val="es-MX"/>
        </w:rPr>
        <w:t xml:space="preserve"> regulaciones internacionales.</w:t>
      </w:r>
    </w:p>
    <w:p w:rsidR="001B213D" w:rsidRPr="0037647B" w:rsidRDefault="001B213D" w:rsidP="00DB53D2">
      <w:pPr>
        <w:jc w:val="both"/>
        <w:rPr>
          <w:rFonts w:ascii="Arial" w:hAnsi="Arial" w:cs="Arial"/>
          <w:b/>
          <w:color w:val="000000" w:themeColor="text1"/>
          <w:lang w:val="es-MX"/>
        </w:rPr>
      </w:pPr>
    </w:p>
    <w:p w:rsidR="008A1BE2" w:rsidRPr="0037647B" w:rsidRDefault="008A1BE2" w:rsidP="00DB53D2">
      <w:pPr>
        <w:pStyle w:val="Ttulo1"/>
        <w:jc w:val="both"/>
        <w:rPr>
          <w:color w:val="000000" w:themeColor="text1"/>
          <w:lang w:val="es-ES"/>
        </w:rPr>
      </w:pPr>
      <w:r w:rsidRPr="0037647B">
        <w:rPr>
          <w:color w:val="000000" w:themeColor="text1"/>
          <w:lang w:val="es-ES"/>
        </w:rPr>
        <w:t>A.</w:t>
      </w:r>
      <w:r w:rsidRPr="0037647B">
        <w:rPr>
          <w:color w:val="000000" w:themeColor="text1"/>
          <w:lang w:val="es-ES"/>
        </w:rPr>
        <w:tab/>
      </w:r>
      <w:r w:rsidR="001B213D" w:rsidRPr="0037647B">
        <w:rPr>
          <w:caps w:val="0"/>
          <w:color w:val="000000" w:themeColor="text1"/>
          <w:lang w:val="es-ES"/>
        </w:rPr>
        <w:t xml:space="preserve">REVISIÓN DE LA INVESTIGACIÓN POR EL </w:t>
      </w:r>
      <w:r w:rsidR="006F6B4E" w:rsidRPr="0037647B">
        <w:rPr>
          <w:caps w:val="0"/>
          <w:color w:val="000000" w:themeColor="text1"/>
          <w:lang w:val="es-ES"/>
        </w:rPr>
        <w:t>CEI</w:t>
      </w:r>
    </w:p>
    <w:p w:rsidR="008A1BE2" w:rsidRPr="0037647B" w:rsidRDefault="008A1BE2" w:rsidP="00DB53D2">
      <w:pPr>
        <w:pStyle w:val="level1bodystyle"/>
        <w:jc w:val="both"/>
        <w:rPr>
          <w:color w:val="000000" w:themeColor="text1"/>
          <w:lang w:val="es-ES"/>
        </w:rPr>
      </w:pPr>
      <w:r w:rsidRPr="0037647B">
        <w:rPr>
          <w:color w:val="000000" w:themeColor="text1"/>
          <w:lang w:val="es-ES"/>
        </w:rPr>
        <w:t>Toda la investigación que involucra sujetos humanos (según lo definido abajo), y el resto de las actividades,</w:t>
      </w:r>
      <w:r w:rsidR="00AB4A19" w:rsidRPr="0037647B">
        <w:rPr>
          <w:color w:val="000000" w:themeColor="text1"/>
          <w:lang w:val="es-ES"/>
        </w:rPr>
        <w:t xml:space="preserve"> así como toda la investigación del área no clínica</w:t>
      </w:r>
      <w:r w:rsidRPr="0037647B">
        <w:rPr>
          <w:color w:val="000000" w:themeColor="text1"/>
          <w:lang w:val="es-ES"/>
        </w:rPr>
        <w:t xml:space="preserve">, sin importar el patrocinio, debe ser revisado y aprobado por el  </w:t>
      </w:r>
      <w:r w:rsidR="006F6B4E" w:rsidRPr="0037647B">
        <w:rPr>
          <w:color w:val="000000" w:themeColor="text1"/>
          <w:lang w:val="es-ES"/>
        </w:rPr>
        <w:t>CEI</w:t>
      </w:r>
      <w:r w:rsidRPr="0037647B">
        <w:rPr>
          <w:color w:val="000000" w:themeColor="text1"/>
          <w:lang w:val="es-ES"/>
        </w:rPr>
        <w:t>. Ninguna intervención o interacción con los sujetos humanos en la investigación, incluyendo el reclutamiento, puede comenzar hasta que el Comité haya revisado y aprobado el protocolo de la investigación</w:t>
      </w:r>
      <w:r w:rsidR="00AB4A19" w:rsidRPr="0037647B">
        <w:rPr>
          <w:color w:val="000000" w:themeColor="text1"/>
          <w:lang w:val="es-ES"/>
        </w:rPr>
        <w:t xml:space="preserve"> en su totalidad, incluyendo contratos</w:t>
      </w:r>
      <w:r w:rsidRPr="0037647B">
        <w:rPr>
          <w:color w:val="000000" w:themeColor="text1"/>
          <w:lang w:val="es-ES"/>
        </w:rPr>
        <w:t>. Las determinaciones específicas en cuanto a la definición de la “investigación” o de los “sujetos humanos,” y sus implicaciones para la jurisdicción del Comité bajo la política institucional son determinadas por el Comité.</w:t>
      </w:r>
    </w:p>
    <w:p w:rsidR="008A1BE2" w:rsidRPr="0037647B" w:rsidRDefault="008A1BE2" w:rsidP="00DB53D2">
      <w:pPr>
        <w:pStyle w:val="level1bodystyle"/>
        <w:jc w:val="both"/>
        <w:rPr>
          <w:color w:val="000000" w:themeColor="text1"/>
          <w:lang w:val="es-ES"/>
        </w:rPr>
      </w:pPr>
      <w:r w:rsidRPr="0037647B">
        <w:rPr>
          <w:snapToGrid w:val="0"/>
          <w:color w:val="000000" w:themeColor="text1"/>
          <w:lang w:val="es-ES"/>
        </w:rPr>
        <w:t xml:space="preserve">El propósito y responsabilidad </w:t>
      </w:r>
      <w:r w:rsidR="006F6B4E" w:rsidRPr="0037647B">
        <w:rPr>
          <w:snapToGrid w:val="0"/>
          <w:color w:val="000000" w:themeColor="text1"/>
          <w:lang w:val="es-ES"/>
        </w:rPr>
        <w:t>del CEI</w:t>
      </w:r>
      <w:r w:rsidRPr="0037647B">
        <w:rPr>
          <w:snapToGrid w:val="0"/>
          <w:color w:val="000000" w:themeColor="text1"/>
          <w:lang w:val="es-ES"/>
        </w:rPr>
        <w:t xml:space="preserve"> es proteger los derechos y el bienestar de los sujetos humanos. El Comité  revisa y supervisa tal investigación para </w:t>
      </w:r>
      <w:r w:rsidRPr="0037647B">
        <w:rPr>
          <w:snapToGrid w:val="0"/>
          <w:color w:val="000000" w:themeColor="text1"/>
          <w:lang w:val="es-ES"/>
        </w:rPr>
        <w:lastRenderedPageBreak/>
        <w:t xml:space="preserve">garantizar que se cumplan los principios éticos bien establecidos y de que se acaten con las regulaciones federales  de la Ley General de Salud en materia de Investigación así como los códigos de regulación   CFR </w:t>
      </w:r>
      <w:r w:rsidR="00061F12" w:rsidRPr="0037647B">
        <w:rPr>
          <w:snapToGrid w:val="0"/>
          <w:color w:val="000000" w:themeColor="text1"/>
          <w:lang w:val="es-ES"/>
        </w:rPr>
        <w:t xml:space="preserve">45, parte </w:t>
      </w:r>
      <w:r w:rsidRPr="0037647B">
        <w:rPr>
          <w:snapToGrid w:val="0"/>
          <w:color w:val="000000" w:themeColor="text1"/>
          <w:lang w:val="es-ES"/>
        </w:rPr>
        <w:t xml:space="preserve">46 y  CFR </w:t>
      </w:r>
      <w:r w:rsidR="00061F12" w:rsidRPr="0037647B">
        <w:rPr>
          <w:snapToGrid w:val="0"/>
          <w:color w:val="000000" w:themeColor="text1"/>
          <w:lang w:val="es-ES"/>
        </w:rPr>
        <w:t xml:space="preserve">21, partes </w:t>
      </w:r>
      <w:r w:rsidRPr="0037647B">
        <w:rPr>
          <w:snapToGrid w:val="0"/>
          <w:color w:val="000000" w:themeColor="text1"/>
          <w:lang w:val="es-ES"/>
        </w:rPr>
        <w:t>50 y 56, que pertenece</w:t>
      </w:r>
      <w:r w:rsidR="00061F12" w:rsidRPr="0037647B">
        <w:rPr>
          <w:snapToGrid w:val="0"/>
          <w:color w:val="000000" w:themeColor="text1"/>
          <w:lang w:val="es-ES"/>
        </w:rPr>
        <w:t>n</w:t>
      </w:r>
      <w:r w:rsidRPr="0037647B">
        <w:rPr>
          <w:snapToGrid w:val="0"/>
          <w:color w:val="000000" w:themeColor="text1"/>
          <w:lang w:val="es-ES"/>
        </w:rPr>
        <w:t xml:space="preserve"> a la protección del sujeto humano, así como cualesquiera otras regulaciones y lineamientos pertinentes, tal como los lineamientos de las Buenas Prácticas Clínicas (GCP) (E6) de la Conferencia Internacional de Armonización. </w:t>
      </w:r>
      <w:r w:rsidR="0053703C" w:rsidRPr="0037647B">
        <w:rPr>
          <w:snapToGrid w:val="0"/>
          <w:color w:val="000000" w:themeColor="text1"/>
          <w:lang w:val="es-ES"/>
        </w:rPr>
        <w:t>Todos los protocolos de investigación</w:t>
      </w:r>
      <w:r w:rsidR="00061F12" w:rsidRPr="0037647B">
        <w:rPr>
          <w:snapToGrid w:val="0"/>
          <w:color w:val="000000" w:themeColor="text1"/>
          <w:lang w:val="es-ES"/>
        </w:rPr>
        <w:t>,</w:t>
      </w:r>
      <w:r w:rsidR="0053703C" w:rsidRPr="0037647B">
        <w:rPr>
          <w:snapToGrid w:val="0"/>
          <w:color w:val="000000" w:themeColor="text1"/>
          <w:lang w:val="es-ES"/>
        </w:rPr>
        <w:t xml:space="preserve"> a</w:t>
      </w:r>
      <w:r w:rsidR="00061F12" w:rsidRPr="0037647B">
        <w:rPr>
          <w:snapToGrid w:val="0"/>
          <w:color w:val="000000" w:themeColor="text1"/>
          <w:lang w:val="es-ES"/>
        </w:rPr>
        <w:t>ún</w:t>
      </w:r>
      <w:r w:rsidR="0053703C" w:rsidRPr="0037647B">
        <w:rPr>
          <w:snapToGrid w:val="0"/>
          <w:color w:val="000000" w:themeColor="text1"/>
          <w:lang w:val="es-ES"/>
        </w:rPr>
        <w:t xml:space="preserve"> los de sin riesgo, </w:t>
      </w:r>
      <w:r w:rsidR="00061F12" w:rsidRPr="0037647B">
        <w:rPr>
          <w:snapToGrid w:val="0"/>
          <w:color w:val="000000" w:themeColor="text1"/>
          <w:lang w:val="es-ES"/>
        </w:rPr>
        <w:t xml:space="preserve">serán </w:t>
      </w:r>
      <w:r w:rsidR="0053703C" w:rsidRPr="0037647B">
        <w:rPr>
          <w:snapToGrid w:val="0"/>
          <w:color w:val="000000" w:themeColor="text1"/>
          <w:lang w:val="es-ES"/>
        </w:rPr>
        <w:t>revisa</w:t>
      </w:r>
      <w:r w:rsidR="00061F12" w:rsidRPr="0037647B">
        <w:rPr>
          <w:snapToGrid w:val="0"/>
          <w:color w:val="000000" w:themeColor="text1"/>
          <w:lang w:val="es-ES"/>
        </w:rPr>
        <w:t>dos po</w:t>
      </w:r>
      <w:r w:rsidR="0053703C" w:rsidRPr="0037647B">
        <w:rPr>
          <w:snapToGrid w:val="0"/>
          <w:color w:val="000000" w:themeColor="text1"/>
          <w:lang w:val="es-ES"/>
        </w:rPr>
        <w:t>r</w:t>
      </w:r>
      <w:r w:rsidR="00061F12" w:rsidRPr="0037647B">
        <w:rPr>
          <w:snapToGrid w:val="0"/>
          <w:color w:val="000000" w:themeColor="text1"/>
          <w:lang w:val="es-ES"/>
        </w:rPr>
        <w:t xml:space="preserve"> nuestro Comité  </w:t>
      </w:r>
      <w:r w:rsidR="0053703C" w:rsidRPr="0037647B">
        <w:rPr>
          <w:snapToGrid w:val="0"/>
          <w:color w:val="000000" w:themeColor="text1"/>
          <w:lang w:val="es-ES"/>
        </w:rPr>
        <w:t xml:space="preserve">a través de nuestro programa de monitoreo </w:t>
      </w:r>
      <w:r w:rsidRPr="0037647B">
        <w:rPr>
          <w:snapToGrid w:val="0"/>
          <w:color w:val="000000" w:themeColor="text1"/>
          <w:lang w:val="es-ES"/>
        </w:rPr>
        <w:t>para garantizar que los sujetos están protegidos apropiadamente.</w:t>
      </w:r>
    </w:p>
    <w:p w:rsidR="008A1BE2" w:rsidRPr="0037647B" w:rsidRDefault="008A1BE2" w:rsidP="00DB53D2">
      <w:pPr>
        <w:pStyle w:val="level1bodystyle"/>
        <w:jc w:val="both"/>
        <w:rPr>
          <w:color w:val="000000" w:themeColor="text1"/>
          <w:lang w:val="es-ES"/>
        </w:rPr>
      </w:pPr>
      <w:r w:rsidRPr="0037647B">
        <w:rPr>
          <w:color w:val="000000" w:themeColor="text1"/>
          <w:lang w:val="es-ES"/>
        </w:rPr>
        <w:t>De acuerdo a las regulaciones federales, las actividades que requieren la revisión del Comité  incluyen</w:t>
      </w:r>
      <w:r w:rsidR="00A22C5F" w:rsidRPr="0037647B">
        <w:rPr>
          <w:color w:val="000000" w:themeColor="text1"/>
          <w:lang w:val="es-ES"/>
        </w:rPr>
        <w:t>,</w:t>
      </w:r>
      <w:r w:rsidRPr="0037647B">
        <w:rPr>
          <w:color w:val="000000" w:themeColor="text1"/>
          <w:lang w:val="es-ES"/>
        </w:rPr>
        <w:t xml:space="preserve"> cualquier actividad que involucra la colección de datos a través de la intervención o interacción con un individuo vivo, o involucrando información privada identificable con respecto a un individuo vivo</w:t>
      </w:r>
      <w:r w:rsidR="00A22C5F" w:rsidRPr="0037647B">
        <w:rPr>
          <w:color w:val="000000" w:themeColor="text1"/>
          <w:lang w:val="es-ES"/>
        </w:rPr>
        <w:t>,</w:t>
      </w:r>
      <w:r w:rsidRPr="0037647B">
        <w:rPr>
          <w:color w:val="000000" w:themeColor="text1"/>
          <w:lang w:val="es-ES"/>
        </w:rPr>
        <w:t xml:space="preserve"> deben ser revisadas por el Comité. Las actividades específicas que requieren la revisión incluyen pero no se limitan necesariamente a lo siguiente:</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 xml:space="preserve">Cualquier experimento que involucra un artículo de prueba y uno o más sujetos humanos, y que ya sea que deba cumplir los requisitos para el previo sometimiento a la FDA bajo la droga en investigación relevante o las provisiones de dispositivos médicos  de la </w:t>
      </w:r>
      <w:r w:rsidR="00A22C5F" w:rsidRPr="0037647B">
        <w:rPr>
          <w:color w:val="000000" w:themeColor="text1"/>
          <w:lang w:val="es-ES"/>
        </w:rPr>
        <w:t>Acta de Alimentos, Drogas y Cosméticos</w:t>
      </w:r>
      <w:r w:rsidRPr="0037647B">
        <w:rPr>
          <w:color w:val="000000" w:themeColor="text1"/>
          <w:lang w:val="es-ES"/>
        </w:rPr>
        <w:t xml:space="preserve">, o que no necesita cumplir los requisitos para el previo sometimiento a la FDA, sino los resultados que se pretenden que sean sometidos posteriormente, o </w:t>
      </w:r>
      <w:r w:rsidR="00A22C5F" w:rsidRPr="0037647B">
        <w:rPr>
          <w:color w:val="000000" w:themeColor="text1"/>
          <w:lang w:val="es-ES"/>
        </w:rPr>
        <w:t xml:space="preserve">se </w:t>
      </w:r>
      <w:r w:rsidRPr="0037647B">
        <w:rPr>
          <w:color w:val="000000" w:themeColor="text1"/>
          <w:lang w:val="es-ES"/>
        </w:rPr>
        <w:t>espera</w:t>
      </w:r>
      <w:r w:rsidR="00A22C5F" w:rsidRPr="0037647B">
        <w:rPr>
          <w:color w:val="000000" w:themeColor="text1"/>
          <w:lang w:val="es-ES"/>
        </w:rPr>
        <w:t xml:space="preserve"> sean </w:t>
      </w:r>
      <w:r w:rsidRPr="0037647B">
        <w:rPr>
          <w:color w:val="000000" w:themeColor="text1"/>
          <w:lang w:val="es-ES"/>
        </w:rPr>
        <w:t>inspecci</w:t>
      </w:r>
      <w:r w:rsidR="00A22C5F" w:rsidRPr="0037647B">
        <w:rPr>
          <w:color w:val="000000" w:themeColor="text1"/>
          <w:lang w:val="es-ES"/>
        </w:rPr>
        <w:t xml:space="preserve">onados </w:t>
      </w:r>
      <w:r w:rsidRPr="0037647B">
        <w:rPr>
          <w:color w:val="000000" w:themeColor="text1"/>
          <w:lang w:val="es-ES"/>
        </w:rPr>
        <w:t xml:space="preserve">por, la FDA o COFEPRIS como parte de una aplicación para un permiso de investigación o comercialización. </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Colección de datos sobre una serie de procedimientos o tratamientos estándares para la difusión o generalización.</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El cuidado de un paciente o la asignación de intervenció</w:t>
      </w:r>
      <w:r w:rsidR="00A22C5F" w:rsidRPr="0037647B">
        <w:rPr>
          <w:color w:val="000000" w:themeColor="text1"/>
          <w:lang w:val="es-ES"/>
        </w:rPr>
        <w:t>n,</w:t>
      </w:r>
      <w:r w:rsidRPr="0037647B">
        <w:rPr>
          <w:color w:val="000000" w:themeColor="text1"/>
          <w:lang w:val="es-ES"/>
        </w:rPr>
        <w:t xml:space="preserve"> es </w:t>
      </w:r>
      <w:r w:rsidR="00A22C5F" w:rsidRPr="0037647B">
        <w:rPr>
          <w:color w:val="000000" w:themeColor="text1"/>
          <w:lang w:val="es-ES"/>
        </w:rPr>
        <w:t xml:space="preserve">alterado </w:t>
      </w:r>
      <w:r w:rsidRPr="0037647B">
        <w:rPr>
          <w:color w:val="000000" w:themeColor="text1"/>
          <w:lang w:val="es-ES"/>
        </w:rPr>
        <w:t>para propósitos de la investigación e</w:t>
      </w:r>
      <w:r w:rsidR="00A22C5F" w:rsidRPr="0037647B">
        <w:rPr>
          <w:color w:val="000000" w:themeColor="text1"/>
          <w:lang w:val="es-ES"/>
        </w:rPr>
        <w:t>n</w:t>
      </w:r>
      <w:r w:rsidRPr="0037647B">
        <w:rPr>
          <w:color w:val="000000" w:themeColor="text1"/>
          <w:lang w:val="es-ES"/>
        </w:rPr>
        <w:t xml:space="preserve"> cualquier manera.</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Un procedimiento diagnóstico para propósitos de investigación que se agrega a</w:t>
      </w:r>
      <w:r w:rsidR="00A22C5F" w:rsidRPr="0037647B">
        <w:rPr>
          <w:color w:val="000000" w:themeColor="text1"/>
          <w:lang w:val="es-ES"/>
        </w:rPr>
        <w:t xml:space="preserve"> </w:t>
      </w:r>
      <w:r w:rsidRPr="0037647B">
        <w:rPr>
          <w:color w:val="000000" w:themeColor="text1"/>
          <w:lang w:val="es-ES"/>
        </w:rPr>
        <w:t>un tratamiento estándar.</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La investigación sistemática que involucra procedimientos innovadores de tratamientos, por ejemplo, si un médico planea colectar información sobre la innovación para propósitos científicos</w:t>
      </w:r>
      <w:r w:rsidR="00A22C5F" w:rsidRPr="0037647B">
        <w:rPr>
          <w:color w:val="000000" w:themeColor="text1"/>
          <w:lang w:val="es-ES"/>
        </w:rPr>
        <w:t>,</w:t>
      </w:r>
      <w:r w:rsidRPr="0037647B">
        <w:rPr>
          <w:color w:val="000000" w:themeColor="text1"/>
          <w:lang w:val="es-ES"/>
        </w:rPr>
        <w:t xml:space="preserve"> o repetir la innovación en otros pacientes para compararla con los tratamientos estándar.</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 xml:space="preserve">El uso de emergencia de una droga en investigación o de un dispositivo médico.  Observe que cuando la asistencia médica de emergencia se inicia sin la revisión y aprobación previa del Comité, el paciente puede no ser considerado un sujeto de la investigación, y los datos generados de tal </w:t>
      </w:r>
      <w:r w:rsidRPr="0037647B">
        <w:rPr>
          <w:color w:val="000000" w:themeColor="text1"/>
          <w:lang w:val="es-ES"/>
        </w:rPr>
        <w:lastRenderedPageBreak/>
        <w:t>asistencia no pueden ser incluidos en ningún informe de actividad de la investigación.</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 xml:space="preserve">La investigación de células humanas o tejido (tejido genético) que involucra  depósitos que colectan, almacenan, y distribuyen materiales de tejido humano para propósitos de la investigación. Sin embargo, las actividades de depósito de células humanas o tejido no requieren revisión del Comité </w:t>
      </w:r>
      <w:r w:rsidR="003C4567" w:rsidRPr="0037647B">
        <w:rPr>
          <w:color w:val="000000" w:themeColor="text1"/>
          <w:lang w:val="es-ES"/>
        </w:rPr>
        <w:t xml:space="preserve">siempre y cuando, </w:t>
      </w:r>
      <w:r w:rsidRPr="0037647B">
        <w:rPr>
          <w:color w:val="000000" w:themeColor="text1"/>
          <w:lang w:val="es-ES"/>
        </w:rPr>
        <w:t xml:space="preserve">el material sometido </w:t>
      </w:r>
      <w:r w:rsidR="003C4567" w:rsidRPr="0037647B">
        <w:rPr>
          <w:color w:val="000000" w:themeColor="text1"/>
          <w:lang w:val="es-ES"/>
        </w:rPr>
        <w:t>par</w:t>
      </w:r>
      <w:r w:rsidRPr="0037647B">
        <w:rPr>
          <w:color w:val="000000" w:themeColor="text1"/>
          <w:lang w:val="es-ES"/>
        </w:rPr>
        <w:t>a</w:t>
      </w:r>
      <w:r w:rsidR="003C4567" w:rsidRPr="0037647B">
        <w:rPr>
          <w:color w:val="000000" w:themeColor="text1"/>
          <w:lang w:val="es-ES"/>
        </w:rPr>
        <w:t xml:space="preserve"> e</w:t>
      </w:r>
      <w:r w:rsidRPr="0037647B">
        <w:rPr>
          <w:color w:val="000000" w:themeColor="text1"/>
          <w:lang w:val="es-ES"/>
        </w:rPr>
        <w:t>l depósito</w:t>
      </w:r>
      <w:r w:rsidR="003C4567" w:rsidRPr="0037647B">
        <w:rPr>
          <w:color w:val="000000" w:themeColor="text1"/>
          <w:lang w:val="es-ES"/>
        </w:rPr>
        <w:t>,</w:t>
      </w:r>
      <w:r w:rsidRPr="0037647B">
        <w:rPr>
          <w:color w:val="000000" w:themeColor="text1"/>
          <w:lang w:val="es-ES"/>
        </w:rPr>
        <w:t xml:space="preserve"> cumpla con las siguientes condiciones: </w:t>
      </w:r>
    </w:p>
    <w:p w:rsidR="008A1BE2" w:rsidRPr="0037647B" w:rsidRDefault="008A1BE2" w:rsidP="00643DCB">
      <w:pPr>
        <w:pStyle w:val="List-Level1"/>
        <w:numPr>
          <w:ilvl w:val="1"/>
          <w:numId w:val="13"/>
        </w:numPr>
        <w:tabs>
          <w:tab w:val="clear" w:pos="1800"/>
          <w:tab w:val="num" w:pos="426"/>
        </w:tabs>
        <w:ind w:left="1134" w:hanging="283"/>
        <w:jc w:val="both"/>
        <w:rPr>
          <w:color w:val="000000" w:themeColor="text1"/>
          <w:lang w:val="es-ES"/>
        </w:rPr>
      </w:pPr>
      <w:r w:rsidRPr="0037647B">
        <w:rPr>
          <w:color w:val="000000" w:themeColor="text1"/>
          <w:lang w:val="es-ES"/>
        </w:rPr>
        <w:t>(i) El material, en su totalidad, fue colectado para otros propósitos que lo propuesto para el depósito (</w:t>
      </w:r>
      <w:r w:rsidR="003C4567" w:rsidRPr="0037647B">
        <w:rPr>
          <w:color w:val="000000" w:themeColor="text1"/>
          <w:lang w:val="es-ES"/>
        </w:rPr>
        <w:t>e</w:t>
      </w:r>
      <w:r w:rsidRPr="0037647B">
        <w:rPr>
          <w:color w:val="000000" w:themeColor="text1"/>
          <w:lang w:val="es-ES"/>
        </w:rPr>
        <w:t xml:space="preserve">jemplo, el material fue colectado solamente para propósitos clínicos, o para los propósitos legítimos pero sin relación a la investigación, sin  material adicional colectado </w:t>
      </w:r>
      <w:r w:rsidR="003C4567" w:rsidRPr="0037647B">
        <w:rPr>
          <w:color w:val="000000" w:themeColor="text1"/>
          <w:lang w:val="es-ES"/>
        </w:rPr>
        <w:t xml:space="preserve">de acuerdo </w:t>
      </w:r>
      <w:r w:rsidRPr="0037647B">
        <w:rPr>
          <w:color w:val="000000" w:themeColor="text1"/>
          <w:lang w:val="es-ES"/>
        </w:rPr>
        <w:t>a la propuesta presentada para el depósito).</w:t>
      </w:r>
    </w:p>
    <w:p w:rsidR="008A1BE2" w:rsidRPr="0037647B" w:rsidRDefault="008A1BE2" w:rsidP="00643DCB">
      <w:pPr>
        <w:pStyle w:val="List-Level1"/>
        <w:numPr>
          <w:ilvl w:val="1"/>
          <w:numId w:val="13"/>
        </w:numPr>
        <w:tabs>
          <w:tab w:val="clear" w:pos="1800"/>
          <w:tab w:val="num" w:pos="426"/>
        </w:tabs>
        <w:ind w:left="1134" w:hanging="283"/>
        <w:jc w:val="both"/>
        <w:rPr>
          <w:color w:val="000000" w:themeColor="text1"/>
          <w:lang w:val="es-ES"/>
        </w:rPr>
      </w:pPr>
      <w:r w:rsidRPr="0037647B">
        <w:rPr>
          <w:color w:val="000000" w:themeColor="text1"/>
          <w:lang w:val="es-ES"/>
        </w:rPr>
        <w:t>(ii) el material es sometido al depósito sin ningún dato o información privada identificable, es decir, no se conservarán ni códigos ni conexiones de cualquier clase, que permitiría el acceso a los datos o información privada identificables sobre el individuo vivo de quien el material fue obtenido.</w:t>
      </w:r>
    </w:p>
    <w:p w:rsidR="00C34F96" w:rsidRPr="0037647B" w:rsidRDefault="0052671F" w:rsidP="00C34F96">
      <w:pPr>
        <w:pStyle w:val="List-Level1"/>
        <w:ind w:left="720" w:hanging="360"/>
        <w:jc w:val="both"/>
        <w:rPr>
          <w:color w:val="000000" w:themeColor="text1"/>
          <w:lang w:val="es-ES"/>
        </w:rPr>
      </w:pPr>
      <w:r w:rsidRPr="0037647B">
        <w:rPr>
          <w:color w:val="000000" w:themeColor="text1"/>
          <w:lang w:val="es-ES"/>
        </w:rPr>
        <w:t>El</w:t>
      </w:r>
      <w:r w:rsidR="008A1BE2" w:rsidRPr="0037647B">
        <w:rPr>
          <w:color w:val="000000" w:themeColor="text1"/>
          <w:lang w:val="es-ES"/>
        </w:rPr>
        <w:t xml:space="preserve"> Investigador, </w:t>
      </w:r>
      <w:r w:rsidRPr="0037647B">
        <w:rPr>
          <w:color w:val="000000" w:themeColor="text1"/>
          <w:lang w:val="es-ES"/>
        </w:rPr>
        <w:t xml:space="preserve">tiene </w:t>
      </w:r>
      <w:r w:rsidR="008A1BE2" w:rsidRPr="0037647B">
        <w:rPr>
          <w:color w:val="000000" w:themeColor="text1"/>
          <w:lang w:val="es-ES"/>
        </w:rPr>
        <w:t xml:space="preserve">la responsabilidad </w:t>
      </w:r>
      <w:r w:rsidRPr="0037647B">
        <w:rPr>
          <w:color w:val="000000" w:themeColor="text1"/>
          <w:lang w:val="es-ES"/>
        </w:rPr>
        <w:t xml:space="preserve">de </w:t>
      </w:r>
      <w:r w:rsidR="008A1BE2" w:rsidRPr="0037647B">
        <w:rPr>
          <w:color w:val="000000" w:themeColor="text1"/>
          <w:lang w:val="es-ES"/>
        </w:rPr>
        <w:t xml:space="preserve">mantener informado al Comité  de los eventos inesperados no serios relacionados con la investigación y  de los eventos adversos serios inesperados y de otros resultados inesperados que afectan la evaluación del riesgo/beneficio de la investigación. El Comité  recomienda que el Comité  de Monitoreo de Seguridad de Datos Independientes (DSMB) revise todos los eventos adversos reportables y </w:t>
      </w:r>
      <w:r w:rsidR="007D06DE" w:rsidRPr="0037647B">
        <w:rPr>
          <w:color w:val="000000" w:themeColor="text1"/>
          <w:lang w:val="es-ES"/>
        </w:rPr>
        <w:t xml:space="preserve">que el </w:t>
      </w:r>
      <w:r w:rsidR="008A1BE2" w:rsidRPr="0037647B">
        <w:rPr>
          <w:color w:val="000000" w:themeColor="text1"/>
          <w:lang w:val="es-ES"/>
        </w:rPr>
        <w:t>reporte del DSMB s</w:t>
      </w:r>
      <w:r w:rsidR="007D06DE" w:rsidRPr="0037647B">
        <w:rPr>
          <w:color w:val="000000" w:themeColor="text1"/>
          <w:lang w:val="es-ES"/>
        </w:rPr>
        <w:t>ea</w:t>
      </w:r>
      <w:r w:rsidR="008A1BE2" w:rsidRPr="0037647B">
        <w:rPr>
          <w:color w:val="000000" w:themeColor="text1"/>
          <w:lang w:val="es-ES"/>
        </w:rPr>
        <w:t xml:space="preserve"> remitido al Comité  junt</w:t>
      </w:r>
      <w:r w:rsidRPr="0037647B">
        <w:rPr>
          <w:color w:val="000000" w:themeColor="text1"/>
          <w:lang w:val="es-ES"/>
        </w:rPr>
        <w:t>o con los reportes individuales.</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Investigación conducida por un estudiante, que incluye todas las actividades que cumplen la definición de investigación con sujetos humanos y que son conducidas por estudiantes para un proyecto de clase o para un trabajo de titulación, deben ser revisadas por el Comité.  Estas actividades incluyen: (i) Todas las tesis de maestría y doctorado que involucran sujetos humanos</w:t>
      </w:r>
      <w:r w:rsidR="007D06DE" w:rsidRPr="0037647B">
        <w:rPr>
          <w:color w:val="000000" w:themeColor="text1"/>
          <w:lang w:val="es-ES"/>
        </w:rPr>
        <w:t xml:space="preserve">, </w:t>
      </w:r>
      <w:r w:rsidRPr="0037647B">
        <w:rPr>
          <w:color w:val="000000" w:themeColor="text1"/>
          <w:lang w:val="es-ES"/>
        </w:rPr>
        <w:t>(ii) todos los proyectos que involucran sujetos humanos y en los cuales los resultados pueden ser publicados o ser difundidos de otra manera</w:t>
      </w:r>
      <w:proofErr w:type="gramStart"/>
      <w:r w:rsidRPr="0037647B">
        <w:rPr>
          <w:color w:val="000000" w:themeColor="text1"/>
          <w:lang w:val="es-ES"/>
        </w:rPr>
        <w:t>.</w:t>
      </w:r>
      <w:r w:rsidR="00AB4A19" w:rsidRPr="0037647B">
        <w:rPr>
          <w:color w:val="000000" w:themeColor="text1"/>
          <w:lang w:val="es-ES"/>
        </w:rPr>
        <w:t>(</w:t>
      </w:r>
      <w:proofErr w:type="gramEnd"/>
      <w:r w:rsidR="00AB4A19" w:rsidRPr="0037647B">
        <w:rPr>
          <w:color w:val="000000" w:themeColor="text1"/>
          <w:lang w:val="es-ES"/>
        </w:rPr>
        <w:t xml:space="preserve">iii) </w:t>
      </w:r>
      <w:r w:rsidR="007D06DE" w:rsidRPr="0037647B">
        <w:rPr>
          <w:color w:val="000000" w:themeColor="text1"/>
          <w:lang w:val="es-ES"/>
        </w:rPr>
        <w:t xml:space="preserve">también, toda </w:t>
      </w:r>
      <w:r w:rsidR="00AB4A19" w:rsidRPr="0037647B">
        <w:rPr>
          <w:color w:val="000000" w:themeColor="text1"/>
          <w:lang w:val="es-ES"/>
        </w:rPr>
        <w:t>investigación básica</w:t>
      </w:r>
      <w:r w:rsidR="007D06DE" w:rsidRPr="0037647B">
        <w:rPr>
          <w:color w:val="000000" w:themeColor="text1"/>
          <w:lang w:val="es-ES"/>
        </w:rPr>
        <w:t xml:space="preserve"> debe de ser registrada</w:t>
      </w:r>
      <w:r w:rsidR="00AB4A19" w:rsidRPr="0037647B">
        <w:rPr>
          <w:color w:val="000000" w:themeColor="text1"/>
          <w:lang w:val="es-ES"/>
        </w:rPr>
        <w:t>.</w:t>
      </w:r>
    </w:p>
    <w:p w:rsidR="008A1BE2" w:rsidRPr="0037647B" w:rsidRDefault="008A1BE2" w:rsidP="00DB53D2">
      <w:pPr>
        <w:pStyle w:val="List-Level1"/>
        <w:ind w:left="720" w:hanging="360"/>
        <w:jc w:val="both"/>
        <w:rPr>
          <w:color w:val="000000" w:themeColor="text1"/>
          <w:lang w:val="es-ES"/>
        </w:rPr>
      </w:pPr>
      <w:r w:rsidRPr="0037647B">
        <w:rPr>
          <w:color w:val="000000" w:themeColor="text1"/>
          <w:lang w:val="es-ES"/>
        </w:rPr>
        <w:t xml:space="preserve">Estudios de caso, por ejemplo cuando una serie de observaciones de sujetos se compilan de tal manera que permita posible extrapolación o generalización de los resultados de los reportes de casos. Tal actividad </w:t>
      </w:r>
      <w:r w:rsidR="007D06DE" w:rsidRPr="0037647B">
        <w:rPr>
          <w:color w:val="000000" w:themeColor="text1"/>
          <w:lang w:val="es-ES"/>
        </w:rPr>
        <w:t xml:space="preserve">de </w:t>
      </w:r>
      <w:r w:rsidRPr="0037647B">
        <w:rPr>
          <w:color w:val="000000" w:themeColor="text1"/>
          <w:lang w:val="es-ES"/>
        </w:rPr>
        <w:t>investigación debe ser revisada por el Comité.  Además, este tipo de actividad debe ser siempre revisada por el Comité  cuando hay intención de publicar o difundir los datos o resultados.</w:t>
      </w:r>
    </w:p>
    <w:p w:rsidR="008A1BE2" w:rsidRPr="0037647B" w:rsidRDefault="008A1BE2" w:rsidP="00DB53D2">
      <w:pPr>
        <w:pStyle w:val="Ttulo1"/>
        <w:jc w:val="both"/>
        <w:rPr>
          <w:color w:val="000000" w:themeColor="text1"/>
          <w:lang w:val="es-ES"/>
        </w:rPr>
      </w:pPr>
      <w:r w:rsidRPr="0037647B">
        <w:rPr>
          <w:color w:val="000000" w:themeColor="text1"/>
          <w:lang w:val="es-ES"/>
        </w:rPr>
        <w:lastRenderedPageBreak/>
        <w:t xml:space="preserve">B. Falla al someter un proyecto para revisión del Comité </w:t>
      </w:r>
    </w:p>
    <w:p w:rsidR="008A1BE2" w:rsidRPr="0037647B" w:rsidRDefault="008A1BE2" w:rsidP="00DB53D2">
      <w:pPr>
        <w:jc w:val="both"/>
        <w:rPr>
          <w:rFonts w:ascii="Arial" w:hAnsi="Arial" w:cs="Arial"/>
          <w:color w:val="000000" w:themeColor="text1"/>
        </w:rPr>
      </w:pPr>
      <w:r w:rsidRPr="0037647B">
        <w:rPr>
          <w:rFonts w:ascii="Arial" w:hAnsi="Arial" w:cs="Arial"/>
          <w:color w:val="000000" w:themeColor="text1"/>
        </w:rPr>
        <w:t xml:space="preserve">Las implicaciones de compromiso en actividades que califican como investigación que son </w:t>
      </w:r>
      <w:r w:rsidR="006F6B4E" w:rsidRPr="0037647B">
        <w:rPr>
          <w:rFonts w:ascii="Arial" w:hAnsi="Arial" w:cs="Arial"/>
          <w:color w:val="000000" w:themeColor="text1"/>
        </w:rPr>
        <w:t>tema de revisión para el Comité</w:t>
      </w:r>
      <w:r w:rsidRPr="0037647B">
        <w:rPr>
          <w:rFonts w:ascii="Arial" w:hAnsi="Arial" w:cs="Arial"/>
          <w:color w:val="000000" w:themeColor="text1"/>
        </w:rPr>
        <w:t xml:space="preserve"> </w:t>
      </w:r>
      <w:r w:rsidR="006F6B4E" w:rsidRPr="0037647B">
        <w:rPr>
          <w:rFonts w:ascii="Arial" w:hAnsi="Arial" w:cs="Arial"/>
          <w:color w:val="000000" w:themeColor="text1"/>
        </w:rPr>
        <w:t>s</w:t>
      </w:r>
      <w:r w:rsidRPr="0037647B">
        <w:rPr>
          <w:rFonts w:ascii="Arial" w:hAnsi="Arial" w:cs="Arial"/>
          <w:color w:val="000000" w:themeColor="text1"/>
        </w:rPr>
        <w:t xml:space="preserve">on importantes. Los resultados de tales estudios no pueden ser publicados a menos que la aprobación por el Comité se haya obtenido antes de la colección de datos. Al hacerlo se encuentra en violación de la política institucional. Está también en contra de la política institucional el utilizar esos datos para satisfacer requisitos de tesis o de disertación. Si un investigador comienza un proyecto y después encuentra que los datos recopilados pueden contribuir  al conocimiento existente o que deseen publicar los resultados, el investigador debe someter una propuesta de revisión al Comité lo antes posible. Si el Comité no aprueba la investigación, los datos colectados no pueden ser utilizados como parte de una tesis o disertación, y/o los resultados de la investigación no pueden ser publicados.  Además, la FDA o </w:t>
      </w:r>
      <w:r w:rsidR="000E1AE4" w:rsidRPr="0037647B">
        <w:rPr>
          <w:rFonts w:ascii="Arial" w:hAnsi="Arial" w:cs="Arial"/>
          <w:color w:val="000000" w:themeColor="text1"/>
        </w:rPr>
        <w:t xml:space="preserve">la </w:t>
      </w:r>
      <w:r w:rsidRPr="0037647B">
        <w:rPr>
          <w:rFonts w:ascii="Arial" w:hAnsi="Arial" w:cs="Arial"/>
          <w:color w:val="000000" w:themeColor="text1"/>
        </w:rPr>
        <w:t xml:space="preserve">COFEPRIS </w:t>
      </w:r>
      <w:r w:rsidR="006F6B4E" w:rsidRPr="0037647B">
        <w:rPr>
          <w:rFonts w:ascii="Arial" w:hAnsi="Arial" w:cs="Arial"/>
          <w:color w:val="000000" w:themeColor="text1"/>
        </w:rPr>
        <w:t>pueden</w:t>
      </w:r>
      <w:r w:rsidRPr="0037647B">
        <w:rPr>
          <w:rFonts w:ascii="Arial" w:hAnsi="Arial" w:cs="Arial"/>
          <w:color w:val="000000" w:themeColor="text1"/>
        </w:rPr>
        <w:t xml:space="preserve"> rechazar tales datos si son sometidos en apoyo de una aplicación de mercadotecnia.</w:t>
      </w:r>
    </w:p>
    <w:p w:rsidR="008A1BE2" w:rsidRPr="0037647B" w:rsidRDefault="008A1BE2" w:rsidP="00DB53D2">
      <w:pPr>
        <w:spacing w:after="120"/>
        <w:jc w:val="both"/>
        <w:rPr>
          <w:rFonts w:ascii="Arial" w:hAnsi="Arial" w:cs="Arial"/>
          <w:color w:val="000000" w:themeColor="text1"/>
        </w:rPr>
      </w:pPr>
    </w:p>
    <w:p w:rsidR="008A1BE2" w:rsidRPr="0037647B" w:rsidRDefault="008A1BE2" w:rsidP="00DB53D2">
      <w:pPr>
        <w:spacing w:after="120"/>
        <w:jc w:val="both"/>
        <w:rPr>
          <w:rFonts w:ascii="Arial" w:hAnsi="Arial" w:cs="Arial"/>
          <w:color w:val="000000" w:themeColor="text1"/>
        </w:rPr>
      </w:pPr>
      <w:r w:rsidRPr="0037647B">
        <w:rPr>
          <w:rFonts w:ascii="Arial" w:hAnsi="Arial" w:cs="Arial"/>
          <w:b/>
          <w:color w:val="000000" w:themeColor="text1"/>
        </w:rPr>
        <w:t>C. Garantía de Independencia</w:t>
      </w:r>
    </w:p>
    <w:p w:rsidR="008A1BE2" w:rsidRPr="0037647B" w:rsidRDefault="008A1BE2" w:rsidP="00DB53D2">
      <w:pPr>
        <w:spacing w:after="120"/>
        <w:jc w:val="both"/>
        <w:rPr>
          <w:rFonts w:ascii="Arial" w:hAnsi="Arial" w:cs="Arial"/>
          <w:color w:val="000000" w:themeColor="text1"/>
          <w:highlight w:val="yellow"/>
        </w:rPr>
      </w:pPr>
      <w:r w:rsidRPr="0037647B">
        <w:rPr>
          <w:rFonts w:ascii="Arial" w:hAnsi="Arial" w:cs="Arial"/>
          <w:bCs/>
          <w:color w:val="000000" w:themeColor="text1"/>
        </w:rPr>
        <w:t xml:space="preserve">El Comité  tiene el mandato de actuar como una entidad independiente dentro de la estructura de la Facultad de Medicina y </w:t>
      </w:r>
      <w:r w:rsidR="006F6B4E" w:rsidRPr="0037647B">
        <w:rPr>
          <w:rFonts w:ascii="Arial" w:hAnsi="Arial" w:cs="Arial"/>
          <w:bCs/>
          <w:color w:val="000000" w:themeColor="text1"/>
        </w:rPr>
        <w:t>Hospital Universitario</w:t>
      </w:r>
      <w:r w:rsidRPr="0037647B">
        <w:rPr>
          <w:rFonts w:ascii="Arial" w:hAnsi="Arial" w:cs="Arial"/>
          <w:bCs/>
          <w:color w:val="000000" w:themeColor="text1"/>
        </w:rPr>
        <w:t xml:space="preserve">. Todas las decisiones tomadas por el Comité  están unidas y no pueden ser anuladas o rechazadas por el Director de la Facultad de Medicina y </w:t>
      </w:r>
      <w:r w:rsidR="006F6B4E" w:rsidRPr="0037647B">
        <w:rPr>
          <w:rFonts w:ascii="Arial" w:hAnsi="Arial" w:cs="Arial"/>
          <w:bCs/>
          <w:color w:val="000000" w:themeColor="text1"/>
        </w:rPr>
        <w:t>Hospital Universitario</w:t>
      </w:r>
      <w:r w:rsidRPr="0037647B">
        <w:rPr>
          <w:rFonts w:ascii="Arial" w:hAnsi="Arial" w:cs="Arial"/>
          <w:bCs/>
          <w:color w:val="000000" w:themeColor="text1"/>
        </w:rPr>
        <w:t>. Las acciones del Comité, su presidente, sus miembros y del personal administrativo en materias de protección de sujeto humano derivan de la autoridad concedida bajo regulaciones federales, separad</w:t>
      </w:r>
      <w:r w:rsidR="00C93DC8" w:rsidRPr="0037647B">
        <w:rPr>
          <w:rFonts w:ascii="Arial" w:hAnsi="Arial" w:cs="Arial"/>
          <w:bCs/>
          <w:color w:val="000000" w:themeColor="text1"/>
        </w:rPr>
        <w:t>as</w:t>
      </w:r>
      <w:r w:rsidRPr="0037647B">
        <w:rPr>
          <w:rFonts w:ascii="Arial" w:hAnsi="Arial" w:cs="Arial"/>
          <w:bCs/>
          <w:color w:val="000000" w:themeColor="text1"/>
        </w:rPr>
        <w:t xml:space="preserve"> y distint</w:t>
      </w:r>
      <w:r w:rsidR="00C93DC8" w:rsidRPr="0037647B">
        <w:rPr>
          <w:rFonts w:ascii="Arial" w:hAnsi="Arial" w:cs="Arial"/>
          <w:bCs/>
          <w:color w:val="000000" w:themeColor="text1"/>
        </w:rPr>
        <w:t>as</w:t>
      </w:r>
      <w:r w:rsidRPr="0037647B">
        <w:rPr>
          <w:rFonts w:ascii="Arial" w:hAnsi="Arial" w:cs="Arial"/>
          <w:bCs/>
          <w:color w:val="000000" w:themeColor="text1"/>
        </w:rPr>
        <w:t xml:space="preserve"> de la Facultad de Medicina y </w:t>
      </w:r>
      <w:r w:rsidR="006F6B4E" w:rsidRPr="0037647B">
        <w:rPr>
          <w:rFonts w:ascii="Arial" w:hAnsi="Arial" w:cs="Arial"/>
          <w:bCs/>
          <w:color w:val="000000" w:themeColor="text1"/>
        </w:rPr>
        <w:t>Hospital Universitario</w:t>
      </w:r>
      <w:r w:rsidRPr="0037647B">
        <w:rPr>
          <w:rFonts w:ascii="Arial" w:hAnsi="Arial" w:cs="Arial"/>
          <w:bCs/>
          <w:color w:val="000000" w:themeColor="text1"/>
        </w:rPr>
        <w:t xml:space="preserve">. Es la responsabilidad del Director de la Facultad y Hospital </w:t>
      </w:r>
      <w:r w:rsidR="006F6B4E" w:rsidRPr="0037647B">
        <w:rPr>
          <w:rFonts w:ascii="Arial" w:hAnsi="Arial" w:cs="Arial"/>
          <w:bCs/>
          <w:color w:val="000000" w:themeColor="text1"/>
        </w:rPr>
        <w:t xml:space="preserve">Universitario </w:t>
      </w:r>
      <w:r w:rsidRPr="0037647B">
        <w:rPr>
          <w:rFonts w:ascii="Arial" w:hAnsi="Arial" w:cs="Arial"/>
          <w:bCs/>
          <w:color w:val="000000" w:themeColor="text1"/>
        </w:rPr>
        <w:t xml:space="preserve">mantener y hacer cumplir la naturaleza independiente de la relación entre el </w:t>
      </w:r>
      <w:r w:rsidR="006F6B4E" w:rsidRPr="0037647B">
        <w:rPr>
          <w:rFonts w:ascii="Arial" w:hAnsi="Arial" w:cs="Arial"/>
          <w:bCs/>
          <w:color w:val="000000" w:themeColor="text1"/>
        </w:rPr>
        <w:t>CEI</w:t>
      </w:r>
      <w:r w:rsidRPr="0037647B">
        <w:rPr>
          <w:rFonts w:ascii="Arial" w:hAnsi="Arial" w:cs="Arial"/>
          <w:bCs/>
          <w:color w:val="000000" w:themeColor="text1"/>
        </w:rPr>
        <w:t xml:space="preserve"> y de la Facultad de Medicina y </w:t>
      </w:r>
      <w:r w:rsidR="006F6B4E" w:rsidRPr="0037647B">
        <w:rPr>
          <w:rFonts w:ascii="Arial" w:hAnsi="Arial" w:cs="Arial"/>
          <w:bCs/>
          <w:color w:val="000000" w:themeColor="text1"/>
        </w:rPr>
        <w:t>Hospital Universitario</w:t>
      </w:r>
      <w:r w:rsidRPr="0037647B">
        <w:rPr>
          <w:rFonts w:ascii="Arial" w:hAnsi="Arial" w:cs="Arial"/>
          <w:bCs/>
          <w:color w:val="000000" w:themeColor="text1"/>
        </w:rPr>
        <w:t>. </w:t>
      </w:r>
    </w:p>
    <w:p w:rsidR="008A1BE2" w:rsidRPr="0037647B" w:rsidRDefault="008A1BE2" w:rsidP="00DB53D2">
      <w:pPr>
        <w:jc w:val="both"/>
        <w:rPr>
          <w:rFonts w:ascii="Arial" w:hAnsi="Arial" w:cs="Arial"/>
          <w:b/>
          <w:color w:val="000000" w:themeColor="text1"/>
        </w:rPr>
      </w:pPr>
    </w:p>
    <w:p w:rsidR="001B213D" w:rsidRPr="0037647B" w:rsidRDefault="001B213D" w:rsidP="00DB53D2">
      <w:pPr>
        <w:jc w:val="both"/>
        <w:rPr>
          <w:rFonts w:ascii="Arial" w:hAnsi="Arial" w:cs="Arial"/>
          <w:b/>
          <w:color w:val="000000" w:themeColor="text1"/>
        </w:rPr>
      </w:pPr>
      <w:r w:rsidRPr="0037647B">
        <w:rPr>
          <w:rFonts w:ascii="Arial" w:hAnsi="Arial" w:cs="Arial"/>
          <w:b/>
          <w:color w:val="000000" w:themeColor="text1"/>
        </w:rPr>
        <w:t>V. ALCANCE</w:t>
      </w:r>
    </w:p>
    <w:p w:rsidR="006F6B4E" w:rsidRPr="0037647B" w:rsidRDefault="006F6B4E" w:rsidP="00DB53D2">
      <w:pPr>
        <w:jc w:val="both"/>
        <w:rPr>
          <w:rFonts w:ascii="Arial" w:hAnsi="Arial" w:cs="Arial"/>
          <w:b/>
          <w:color w:val="000000" w:themeColor="text1"/>
        </w:rPr>
      </w:pPr>
    </w:p>
    <w:p w:rsidR="001B213D" w:rsidRPr="0037647B" w:rsidRDefault="001B213D" w:rsidP="00DB53D2">
      <w:pPr>
        <w:ind w:firstLine="708"/>
        <w:jc w:val="both"/>
        <w:rPr>
          <w:rFonts w:ascii="Arial" w:hAnsi="Arial" w:cs="Arial"/>
          <w:color w:val="000000" w:themeColor="text1"/>
          <w:lang w:val="es-MX"/>
        </w:rPr>
      </w:pPr>
      <w:r w:rsidRPr="0037647B">
        <w:rPr>
          <w:rFonts w:ascii="Arial" w:hAnsi="Arial" w:cs="Arial"/>
          <w:color w:val="000000" w:themeColor="text1"/>
          <w:lang w:val="es-MX"/>
        </w:rPr>
        <w:t>Estas políticas y procedimientos se aplican a todo el personal de</w:t>
      </w:r>
      <w:r w:rsidR="00C93DC8" w:rsidRPr="0037647B">
        <w:rPr>
          <w:rFonts w:ascii="Arial" w:hAnsi="Arial" w:cs="Arial"/>
          <w:color w:val="000000" w:themeColor="text1"/>
          <w:lang w:val="es-MX"/>
        </w:rPr>
        <w:t>l</w:t>
      </w:r>
      <w:r w:rsidRPr="0037647B">
        <w:rPr>
          <w:rFonts w:ascii="Arial" w:hAnsi="Arial" w:cs="Arial"/>
          <w:color w:val="000000" w:themeColor="text1"/>
          <w:lang w:val="es-MX"/>
        </w:rPr>
        <w:t xml:space="preserve"> </w:t>
      </w:r>
      <w:r w:rsidR="006F6B4E" w:rsidRPr="0037647B">
        <w:rPr>
          <w:rFonts w:ascii="Arial" w:hAnsi="Arial" w:cs="Arial"/>
          <w:color w:val="000000" w:themeColor="text1"/>
          <w:lang w:val="es-MX"/>
        </w:rPr>
        <w:t>CEI</w:t>
      </w:r>
      <w:r w:rsidRPr="0037647B">
        <w:rPr>
          <w:rFonts w:ascii="Arial" w:hAnsi="Arial" w:cs="Arial"/>
          <w:color w:val="000000" w:themeColor="text1"/>
          <w:lang w:val="es-MX"/>
        </w:rPr>
        <w:t>, así como a todos los investigadores, profesores, estudiantes, patrocinadores y a todo el personal involucrado en el desarrollo de investigación médica en seres humanos.</w:t>
      </w:r>
    </w:p>
    <w:p w:rsidR="001B213D" w:rsidRPr="0037647B" w:rsidRDefault="001B213D" w:rsidP="00DB53D2">
      <w:pPr>
        <w:jc w:val="both"/>
        <w:rPr>
          <w:rFonts w:ascii="Arial" w:hAnsi="Arial" w:cs="Arial"/>
          <w:b/>
          <w:color w:val="000000" w:themeColor="text1"/>
          <w:lang w:val="es-MX"/>
        </w:rPr>
      </w:pPr>
    </w:p>
    <w:p w:rsidR="00803517" w:rsidRPr="0037647B" w:rsidRDefault="00803517" w:rsidP="00DB53D2">
      <w:pPr>
        <w:jc w:val="both"/>
        <w:rPr>
          <w:rFonts w:ascii="Arial" w:hAnsi="Arial" w:cs="Arial"/>
          <w:b/>
          <w:color w:val="000000" w:themeColor="text1"/>
        </w:rPr>
      </w:pPr>
    </w:p>
    <w:p w:rsidR="00803517" w:rsidRPr="0037647B" w:rsidRDefault="00803517" w:rsidP="00DB53D2">
      <w:pPr>
        <w:jc w:val="both"/>
        <w:rPr>
          <w:rFonts w:ascii="Arial" w:hAnsi="Arial" w:cs="Arial"/>
          <w:b/>
          <w:color w:val="000000" w:themeColor="text1"/>
        </w:rPr>
      </w:pPr>
      <w:r w:rsidRPr="0037647B">
        <w:rPr>
          <w:rFonts w:ascii="Arial" w:hAnsi="Arial" w:cs="Arial"/>
          <w:b/>
          <w:color w:val="000000" w:themeColor="text1"/>
        </w:rPr>
        <w:t>V. PROCEDIMIENTO</w:t>
      </w:r>
    </w:p>
    <w:p w:rsidR="00942695" w:rsidRPr="0037647B" w:rsidRDefault="00942695" w:rsidP="00DB53D2">
      <w:pPr>
        <w:jc w:val="both"/>
        <w:rPr>
          <w:rFonts w:ascii="Arial" w:hAnsi="Arial" w:cs="Arial"/>
          <w:b/>
          <w:color w:val="000000" w:themeColor="text1"/>
        </w:rPr>
      </w:pPr>
    </w:p>
    <w:p w:rsidR="00942695" w:rsidRPr="0037647B" w:rsidRDefault="00942695" w:rsidP="00DB53D2">
      <w:pPr>
        <w:jc w:val="both"/>
        <w:rPr>
          <w:rFonts w:ascii="Arial" w:hAnsi="Arial" w:cs="Arial"/>
          <w:color w:val="000000" w:themeColor="text1"/>
        </w:rPr>
      </w:pPr>
      <w:r w:rsidRPr="0037647B">
        <w:rPr>
          <w:rFonts w:ascii="Arial" w:hAnsi="Arial" w:cs="Arial"/>
          <w:color w:val="000000" w:themeColor="text1"/>
        </w:rPr>
        <w:lastRenderedPageBreak/>
        <w:t xml:space="preserve">Para dar cumplimiento a lo establecido en </w:t>
      </w:r>
      <w:r w:rsidR="00C93DC8" w:rsidRPr="0037647B">
        <w:rPr>
          <w:rFonts w:ascii="Arial" w:hAnsi="Arial" w:cs="Arial"/>
          <w:color w:val="000000" w:themeColor="text1"/>
        </w:rPr>
        <w:t>los</w:t>
      </w:r>
      <w:r w:rsidRPr="0037647B">
        <w:rPr>
          <w:rFonts w:ascii="Arial" w:hAnsi="Arial" w:cs="Arial"/>
          <w:color w:val="000000" w:themeColor="text1"/>
        </w:rPr>
        <w:t xml:space="preserve"> artículo</w:t>
      </w:r>
      <w:r w:rsidR="00C93DC8" w:rsidRPr="0037647B">
        <w:rPr>
          <w:rFonts w:ascii="Arial" w:hAnsi="Arial" w:cs="Arial"/>
          <w:color w:val="000000" w:themeColor="text1"/>
        </w:rPr>
        <w:t>s</w:t>
      </w:r>
      <w:r w:rsidRPr="0037647B">
        <w:rPr>
          <w:rFonts w:ascii="Arial" w:hAnsi="Arial" w:cs="Arial"/>
          <w:color w:val="000000" w:themeColor="text1"/>
        </w:rPr>
        <w:t xml:space="preserve"> 99 y 101 de la Ley General de Salud </w:t>
      </w:r>
      <w:r w:rsidR="002D6A2D" w:rsidRPr="0037647B">
        <w:rPr>
          <w:rFonts w:ascii="Arial" w:hAnsi="Arial" w:cs="Arial"/>
          <w:color w:val="000000" w:themeColor="text1"/>
        </w:rPr>
        <w:t xml:space="preserve">y a la </w:t>
      </w:r>
      <w:r w:rsidR="002D6A2D" w:rsidRPr="0037647B">
        <w:rPr>
          <w:rFonts w:ascii="Arial" w:hAnsi="Arial" w:cs="Arial"/>
          <w:color w:val="000000" w:themeColor="text1"/>
          <w:lang w:val="es-MX"/>
        </w:rPr>
        <w:t>Guía Nacional para la Integración y el Funcionamiento de los Comités de Ética en Investigación, Quinta Edición, 2015, el registro del CEI ante la CONBIOÉTICA se realizará siguiendo todos los procedimientos establecidos en la misma guía, así como el llenado de requisitos que esta disponga en su página de internet.</w:t>
      </w:r>
    </w:p>
    <w:p w:rsidR="00942695" w:rsidRPr="0037647B" w:rsidRDefault="00942695" w:rsidP="00DB53D2">
      <w:pPr>
        <w:jc w:val="both"/>
        <w:rPr>
          <w:rFonts w:ascii="Arial" w:hAnsi="Arial" w:cs="Arial"/>
          <w:color w:val="000000" w:themeColor="text1"/>
        </w:rPr>
      </w:pPr>
    </w:p>
    <w:p w:rsidR="00803517" w:rsidRPr="0037647B" w:rsidRDefault="00803517" w:rsidP="00DB53D2">
      <w:pPr>
        <w:jc w:val="both"/>
        <w:rPr>
          <w:rFonts w:ascii="Arial" w:hAnsi="Arial" w:cs="Arial"/>
          <w:b/>
          <w:color w:val="000000" w:themeColor="text1"/>
        </w:rPr>
      </w:pPr>
    </w:p>
    <w:p w:rsidR="00803517" w:rsidRPr="0037647B" w:rsidRDefault="00803517" w:rsidP="00DB53D2">
      <w:pPr>
        <w:jc w:val="both"/>
        <w:rPr>
          <w:rFonts w:ascii="Arial" w:hAnsi="Arial" w:cs="Arial"/>
          <w:b/>
          <w:color w:val="000000" w:themeColor="text1"/>
        </w:rPr>
      </w:pPr>
      <w:r w:rsidRPr="0037647B">
        <w:rPr>
          <w:rFonts w:ascii="Arial" w:hAnsi="Arial" w:cs="Arial"/>
          <w:b/>
          <w:color w:val="000000" w:themeColor="text1"/>
        </w:rPr>
        <w:t>VI. MATERIALES</w:t>
      </w:r>
    </w:p>
    <w:p w:rsidR="003D3DE3" w:rsidRPr="0037647B" w:rsidRDefault="003D3DE3" w:rsidP="00DB53D2">
      <w:pPr>
        <w:jc w:val="both"/>
        <w:rPr>
          <w:rFonts w:ascii="Arial" w:hAnsi="Arial" w:cs="Arial"/>
          <w:b/>
          <w:color w:val="000000" w:themeColor="text1"/>
        </w:rPr>
      </w:pPr>
    </w:p>
    <w:p w:rsidR="007703F1" w:rsidRPr="0037647B" w:rsidRDefault="00942695" w:rsidP="007703F1">
      <w:pPr>
        <w:spacing w:after="120"/>
        <w:ind w:firstLine="288"/>
        <w:jc w:val="both"/>
        <w:rPr>
          <w:rFonts w:ascii="Arial" w:hAnsi="Arial" w:cs="Arial"/>
          <w:color w:val="000000" w:themeColor="text1"/>
        </w:rPr>
      </w:pPr>
      <w:r w:rsidRPr="0037647B">
        <w:rPr>
          <w:rFonts w:ascii="Arial" w:hAnsi="Arial" w:cs="Arial"/>
          <w:color w:val="000000" w:themeColor="text1"/>
        </w:rPr>
        <w:t>VI.1</w:t>
      </w:r>
      <w:r w:rsidR="004E424B" w:rsidRPr="0037647B">
        <w:rPr>
          <w:rFonts w:ascii="Arial" w:hAnsi="Arial" w:cs="Arial"/>
          <w:color w:val="000000" w:themeColor="text1"/>
        </w:rPr>
        <w:t xml:space="preserve"> </w:t>
      </w:r>
      <w:r w:rsidR="00DB53D2" w:rsidRPr="0037647B">
        <w:rPr>
          <w:rFonts w:ascii="Arial" w:hAnsi="Arial" w:cs="Arial"/>
          <w:color w:val="000000" w:themeColor="text1"/>
        </w:rPr>
        <w:t>GA 100</w:t>
      </w:r>
      <w:r w:rsidR="004E424B" w:rsidRPr="0037647B">
        <w:rPr>
          <w:rFonts w:ascii="Arial" w:hAnsi="Arial" w:cs="Arial"/>
          <w:color w:val="000000" w:themeColor="text1"/>
        </w:rPr>
        <w:t xml:space="preserve"> </w:t>
      </w:r>
      <w:r w:rsidR="00DB53D2" w:rsidRPr="0037647B">
        <w:rPr>
          <w:rFonts w:ascii="Arial" w:hAnsi="Arial" w:cs="Arial"/>
          <w:color w:val="000000" w:themeColor="text1"/>
        </w:rPr>
        <w:t>-</w:t>
      </w:r>
      <w:r w:rsidR="004E424B" w:rsidRPr="0037647B">
        <w:rPr>
          <w:rFonts w:ascii="Arial" w:hAnsi="Arial" w:cs="Arial"/>
          <w:color w:val="000000" w:themeColor="text1"/>
        </w:rPr>
        <w:t xml:space="preserve"> 0</w:t>
      </w:r>
      <w:r w:rsidR="00DB53D2" w:rsidRPr="0037647B">
        <w:rPr>
          <w:rFonts w:ascii="Arial" w:hAnsi="Arial" w:cs="Arial"/>
          <w:color w:val="000000" w:themeColor="text1"/>
        </w:rPr>
        <w:t xml:space="preserve">1  </w:t>
      </w:r>
      <w:r w:rsidRPr="0037647B">
        <w:rPr>
          <w:rFonts w:ascii="Arial" w:hAnsi="Arial" w:cs="Arial"/>
          <w:color w:val="000000" w:themeColor="text1"/>
        </w:rPr>
        <w:t xml:space="preserve">Formato de Inscripción </w:t>
      </w:r>
      <w:r w:rsidR="003D3DE3" w:rsidRPr="0037647B">
        <w:rPr>
          <w:rFonts w:ascii="Arial" w:hAnsi="Arial" w:cs="Arial"/>
          <w:color w:val="000000" w:themeColor="text1"/>
        </w:rPr>
        <w:t>COFEPRIS-05-038</w:t>
      </w:r>
    </w:p>
    <w:p w:rsidR="00066ED0" w:rsidRPr="0037647B" w:rsidRDefault="00E656DC">
      <w:pPr>
        <w:pStyle w:val="level1bodystyle"/>
        <w:ind w:left="288"/>
        <w:jc w:val="both"/>
        <w:rPr>
          <w:color w:val="000000" w:themeColor="text1"/>
          <w:szCs w:val="24"/>
          <w:lang w:val="es-MX"/>
        </w:rPr>
      </w:pPr>
      <w:r w:rsidRPr="0037647B">
        <w:rPr>
          <w:color w:val="000000" w:themeColor="text1"/>
          <w:szCs w:val="24"/>
          <w:lang w:val="es-MX"/>
        </w:rPr>
        <w:t>VI.</w:t>
      </w:r>
      <w:r w:rsidR="004E424B" w:rsidRPr="0037647B">
        <w:rPr>
          <w:color w:val="000000" w:themeColor="text1"/>
          <w:szCs w:val="24"/>
          <w:lang w:val="es-MX"/>
        </w:rPr>
        <w:t xml:space="preserve"> </w:t>
      </w:r>
      <w:r w:rsidRPr="0037647B">
        <w:rPr>
          <w:color w:val="000000" w:themeColor="text1"/>
          <w:szCs w:val="24"/>
          <w:lang w:val="es-MX"/>
        </w:rPr>
        <w:t>2</w:t>
      </w:r>
      <w:r w:rsidR="004E424B" w:rsidRPr="0037647B">
        <w:rPr>
          <w:color w:val="000000" w:themeColor="text1"/>
          <w:szCs w:val="24"/>
          <w:lang w:val="es-MX"/>
        </w:rPr>
        <w:t xml:space="preserve"> </w:t>
      </w:r>
      <w:r w:rsidR="007703F1" w:rsidRPr="0037647B">
        <w:rPr>
          <w:rStyle w:val="longtext"/>
          <w:color w:val="000000" w:themeColor="text1"/>
          <w:szCs w:val="24"/>
          <w:lang w:val="es-ES"/>
        </w:rPr>
        <w:t>IG-Belmont</w:t>
      </w:r>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w:t>
      </w:r>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 xml:space="preserve">01 </w:t>
      </w:r>
      <w:r w:rsidR="004E424B" w:rsidRPr="0037647B">
        <w:rPr>
          <w:rStyle w:val="longtext"/>
          <w:color w:val="000000" w:themeColor="text1"/>
          <w:szCs w:val="24"/>
          <w:lang w:val="es-ES"/>
        </w:rPr>
        <w:t>Reporte</w:t>
      </w:r>
      <w:r w:rsidR="007703F1" w:rsidRPr="0037647B">
        <w:rPr>
          <w:rStyle w:val="longtext"/>
          <w:color w:val="000000" w:themeColor="text1"/>
          <w:szCs w:val="24"/>
          <w:lang w:val="es-ES"/>
        </w:rPr>
        <w:t xml:space="preserve"> Belmont</w:t>
      </w:r>
    </w:p>
    <w:p w:rsidR="00066ED0" w:rsidRPr="0037647B" w:rsidRDefault="00E656DC">
      <w:pPr>
        <w:pStyle w:val="level1bodystyle"/>
        <w:ind w:left="288"/>
        <w:jc w:val="both"/>
        <w:rPr>
          <w:color w:val="000000" w:themeColor="text1"/>
          <w:szCs w:val="24"/>
          <w:lang w:val="es-MX"/>
        </w:rPr>
      </w:pPr>
      <w:r w:rsidRPr="0037647B">
        <w:rPr>
          <w:color w:val="000000" w:themeColor="text1"/>
          <w:szCs w:val="24"/>
          <w:lang w:val="es-MX"/>
        </w:rPr>
        <w:t>VI.</w:t>
      </w:r>
      <w:r w:rsidR="004E424B" w:rsidRPr="0037647B">
        <w:rPr>
          <w:color w:val="000000" w:themeColor="text1"/>
          <w:szCs w:val="24"/>
          <w:lang w:val="es-MX"/>
        </w:rPr>
        <w:t xml:space="preserve"> </w:t>
      </w:r>
      <w:r w:rsidRPr="0037647B">
        <w:rPr>
          <w:color w:val="000000" w:themeColor="text1"/>
          <w:szCs w:val="24"/>
          <w:lang w:val="es-MX"/>
        </w:rPr>
        <w:t>3</w:t>
      </w:r>
      <w:r w:rsidR="004E424B" w:rsidRPr="0037647B">
        <w:rPr>
          <w:color w:val="000000" w:themeColor="text1"/>
          <w:szCs w:val="24"/>
          <w:lang w:val="es-MX"/>
        </w:rPr>
        <w:t xml:space="preserve"> </w:t>
      </w:r>
      <w:r w:rsidR="007703F1" w:rsidRPr="0037647B">
        <w:rPr>
          <w:rStyle w:val="longtext"/>
          <w:color w:val="000000" w:themeColor="text1"/>
          <w:szCs w:val="30"/>
          <w:lang w:val="es-ES"/>
        </w:rPr>
        <w:t>IG-CFR</w:t>
      </w:r>
      <w:r w:rsidR="004E424B" w:rsidRPr="0037647B">
        <w:rPr>
          <w:rStyle w:val="longtext"/>
          <w:color w:val="000000" w:themeColor="text1"/>
          <w:szCs w:val="30"/>
          <w:lang w:val="es-ES"/>
        </w:rPr>
        <w:t xml:space="preserve"> 45, parte </w:t>
      </w:r>
      <w:r w:rsidR="007703F1" w:rsidRPr="0037647B">
        <w:rPr>
          <w:rStyle w:val="longtext"/>
          <w:color w:val="000000" w:themeColor="text1"/>
          <w:szCs w:val="30"/>
          <w:lang w:val="es-ES"/>
        </w:rPr>
        <w:t>46</w:t>
      </w:r>
      <w:r w:rsidR="004E424B" w:rsidRPr="0037647B">
        <w:rPr>
          <w:rStyle w:val="longtext"/>
          <w:color w:val="000000" w:themeColor="text1"/>
          <w:szCs w:val="30"/>
          <w:lang w:val="es-ES"/>
        </w:rPr>
        <w:t xml:space="preserve"> </w:t>
      </w:r>
      <w:r w:rsidR="007703F1" w:rsidRPr="0037647B">
        <w:rPr>
          <w:rStyle w:val="longtext"/>
          <w:color w:val="000000" w:themeColor="text1"/>
          <w:szCs w:val="30"/>
          <w:lang w:val="es-ES"/>
        </w:rPr>
        <w:t>-</w:t>
      </w:r>
      <w:r w:rsidR="004E424B" w:rsidRPr="0037647B">
        <w:rPr>
          <w:rStyle w:val="longtext"/>
          <w:color w:val="000000" w:themeColor="text1"/>
          <w:szCs w:val="30"/>
          <w:lang w:val="es-ES"/>
        </w:rPr>
        <w:t xml:space="preserve"> </w:t>
      </w:r>
      <w:r w:rsidR="007703F1" w:rsidRPr="0037647B">
        <w:rPr>
          <w:rStyle w:val="longtext"/>
          <w:color w:val="000000" w:themeColor="text1"/>
          <w:szCs w:val="30"/>
          <w:lang w:val="es-ES"/>
        </w:rPr>
        <w:t xml:space="preserve">01 Código Federal de Regulación </w:t>
      </w:r>
      <w:r w:rsidR="004E424B" w:rsidRPr="0037647B">
        <w:rPr>
          <w:rStyle w:val="longtext"/>
          <w:color w:val="000000" w:themeColor="text1"/>
          <w:szCs w:val="30"/>
          <w:lang w:val="es-ES"/>
        </w:rPr>
        <w:t>CFR 45, parte 46</w:t>
      </w:r>
    </w:p>
    <w:p w:rsidR="00066ED0" w:rsidRPr="0037647B" w:rsidRDefault="00E656DC">
      <w:pPr>
        <w:pStyle w:val="level1bodystyle"/>
        <w:ind w:left="288"/>
        <w:jc w:val="both"/>
        <w:rPr>
          <w:color w:val="000000" w:themeColor="text1"/>
          <w:szCs w:val="24"/>
          <w:lang w:val="es-MX"/>
        </w:rPr>
      </w:pPr>
      <w:r w:rsidRPr="0037647B">
        <w:rPr>
          <w:color w:val="000000" w:themeColor="text1"/>
          <w:szCs w:val="24"/>
          <w:lang w:val="es-MX"/>
        </w:rPr>
        <w:t>VI.</w:t>
      </w:r>
      <w:r w:rsidR="004E424B" w:rsidRPr="0037647B">
        <w:rPr>
          <w:color w:val="000000" w:themeColor="text1"/>
          <w:szCs w:val="24"/>
          <w:lang w:val="es-MX"/>
        </w:rPr>
        <w:t xml:space="preserve"> </w:t>
      </w:r>
      <w:r w:rsidRPr="0037647B">
        <w:rPr>
          <w:color w:val="000000" w:themeColor="text1"/>
          <w:szCs w:val="24"/>
          <w:lang w:val="es-MX"/>
        </w:rPr>
        <w:t>4</w:t>
      </w:r>
      <w:r w:rsidR="004E424B" w:rsidRPr="0037647B">
        <w:rPr>
          <w:color w:val="000000" w:themeColor="text1"/>
          <w:szCs w:val="24"/>
          <w:lang w:val="es-MX"/>
        </w:rPr>
        <w:t xml:space="preserve"> </w:t>
      </w:r>
      <w:r w:rsidR="007703F1" w:rsidRPr="0037647B">
        <w:rPr>
          <w:rStyle w:val="longtext"/>
          <w:color w:val="000000" w:themeColor="text1"/>
          <w:szCs w:val="24"/>
          <w:lang w:val="es-ES"/>
        </w:rPr>
        <w:t>IG-</w:t>
      </w:r>
      <w:proofErr w:type="spellStart"/>
      <w:r w:rsidR="007703F1" w:rsidRPr="0037647B">
        <w:rPr>
          <w:rStyle w:val="longtext"/>
          <w:color w:val="000000" w:themeColor="text1"/>
          <w:szCs w:val="24"/>
          <w:lang w:val="es-ES"/>
        </w:rPr>
        <w:t>N</w:t>
      </w:r>
      <w:r w:rsidR="00C21D3D" w:rsidRPr="0037647B">
        <w:rPr>
          <w:rStyle w:val="longtext"/>
          <w:color w:val="000000" w:themeColor="text1"/>
          <w:szCs w:val="24"/>
          <w:lang w:val="es-ES"/>
        </w:rPr>
        <w:t>u</w:t>
      </w:r>
      <w:r w:rsidR="007703F1" w:rsidRPr="0037647B">
        <w:rPr>
          <w:rStyle w:val="longtext"/>
          <w:color w:val="000000" w:themeColor="text1"/>
          <w:szCs w:val="24"/>
          <w:lang w:val="es-ES"/>
        </w:rPr>
        <w:t>remberg</w:t>
      </w:r>
      <w:proofErr w:type="spellEnd"/>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w:t>
      </w:r>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 xml:space="preserve">01 </w:t>
      </w:r>
      <w:r w:rsidR="004E424B" w:rsidRPr="0037647B">
        <w:rPr>
          <w:rStyle w:val="longtext"/>
          <w:color w:val="000000" w:themeColor="text1"/>
          <w:szCs w:val="24"/>
          <w:lang w:val="es-ES"/>
        </w:rPr>
        <w:t>Código</w:t>
      </w:r>
      <w:r w:rsidR="007703F1" w:rsidRPr="0037647B">
        <w:rPr>
          <w:rStyle w:val="longtext"/>
          <w:color w:val="000000" w:themeColor="text1"/>
          <w:szCs w:val="24"/>
          <w:lang w:val="es-ES"/>
        </w:rPr>
        <w:t xml:space="preserve"> de </w:t>
      </w:r>
      <w:proofErr w:type="spellStart"/>
      <w:r w:rsidR="007703F1" w:rsidRPr="0037647B">
        <w:rPr>
          <w:rStyle w:val="longtext"/>
          <w:color w:val="000000" w:themeColor="text1"/>
          <w:szCs w:val="24"/>
          <w:lang w:val="es-ES"/>
        </w:rPr>
        <w:t>N</w:t>
      </w:r>
      <w:r w:rsidR="00C21D3D" w:rsidRPr="0037647B">
        <w:rPr>
          <w:rStyle w:val="longtext"/>
          <w:color w:val="000000" w:themeColor="text1"/>
          <w:szCs w:val="24"/>
          <w:lang w:val="es-ES"/>
        </w:rPr>
        <w:t>u</w:t>
      </w:r>
      <w:r w:rsidR="007703F1" w:rsidRPr="0037647B">
        <w:rPr>
          <w:rStyle w:val="longtext"/>
          <w:color w:val="000000" w:themeColor="text1"/>
          <w:szCs w:val="24"/>
          <w:lang w:val="es-ES"/>
        </w:rPr>
        <w:t>remberg</w:t>
      </w:r>
      <w:proofErr w:type="spellEnd"/>
    </w:p>
    <w:p w:rsidR="00066ED0" w:rsidRPr="0037647B" w:rsidRDefault="00E656DC">
      <w:pPr>
        <w:pStyle w:val="level1bodystyle"/>
        <w:ind w:left="288"/>
        <w:jc w:val="both"/>
        <w:rPr>
          <w:color w:val="000000" w:themeColor="text1"/>
          <w:szCs w:val="24"/>
          <w:lang w:val="es-MX"/>
        </w:rPr>
      </w:pPr>
      <w:r w:rsidRPr="0037647B">
        <w:rPr>
          <w:color w:val="000000" w:themeColor="text1"/>
          <w:szCs w:val="24"/>
          <w:lang w:val="es-MX"/>
        </w:rPr>
        <w:t>VI.</w:t>
      </w:r>
      <w:r w:rsidR="004E424B" w:rsidRPr="0037647B">
        <w:rPr>
          <w:color w:val="000000" w:themeColor="text1"/>
          <w:szCs w:val="24"/>
          <w:lang w:val="es-MX"/>
        </w:rPr>
        <w:t xml:space="preserve"> </w:t>
      </w:r>
      <w:r w:rsidRPr="0037647B">
        <w:rPr>
          <w:color w:val="000000" w:themeColor="text1"/>
          <w:szCs w:val="24"/>
          <w:lang w:val="es-MX"/>
        </w:rPr>
        <w:t>5</w:t>
      </w:r>
      <w:r w:rsidR="004E424B" w:rsidRPr="0037647B">
        <w:rPr>
          <w:color w:val="000000" w:themeColor="text1"/>
          <w:szCs w:val="24"/>
          <w:lang w:val="es-MX"/>
        </w:rPr>
        <w:t xml:space="preserve"> </w:t>
      </w:r>
      <w:r w:rsidR="007703F1" w:rsidRPr="0037647B">
        <w:rPr>
          <w:rStyle w:val="longtext"/>
          <w:color w:val="000000" w:themeColor="text1"/>
          <w:szCs w:val="24"/>
          <w:lang w:val="es-ES"/>
        </w:rPr>
        <w:t>IG-</w:t>
      </w:r>
      <w:proofErr w:type="spellStart"/>
      <w:r w:rsidR="007703F1" w:rsidRPr="0037647B">
        <w:rPr>
          <w:rStyle w:val="longtext"/>
          <w:color w:val="000000" w:themeColor="text1"/>
          <w:szCs w:val="24"/>
          <w:lang w:val="es-ES"/>
        </w:rPr>
        <w:t>Helsinky</w:t>
      </w:r>
      <w:proofErr w:type="spellEnd"/>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w:t>
      </w:r>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 xml:space="preserve">01 Declaración de </w:t>
      </w:r>
      <w:proofErr w:type="spellStart"/>
      <w:r w:rsidR="007703F1" w:rsidRPr="0037647B">
        <w:rPr>
          <w:rStyle w:val="longtext"/>
          <w:color w:val="000000" w:themeColor="text1"/>
          <w:szCs w:val="24"/>
          <w:lang w:val="es-ES"/>
        </w:rPr>
        <w:t>Helsinky</w:t>
      </w:r>
      <w:proofErr w:type="spellEnd"/>
    </w:p>
    <w:p w:rsidR="00066ED0" w:rsidRPr="0037647B" w:rsidRDefault="00E656DC">
      <w:pPr>
        <w:pStyle w:val="level1bodystyle"/>
        <w:ind w:left="288"/>
        <w:jc w:val="both"/>
        <w:rPr>
          <w:color w:val="000000" w:themeColor="text1"/>
          <w:lang w:val="es-MX"/>
        </w:rPr>
      </w:pPr>
      <w:r w:rsidRPr="0037647B">
        <w:rPr>
          <w:color w:val="000000" w:themeColor="text1"/>
          <w:szCs w:val="24"/>
          <w:lang w:val="es-MX"/>
        </w:rPr>
        <w:t>VI.</w:t>
      </w:r>
      <w:r w:rsidR="004E424B" w:rsidRPr="0037647B">
        <w:rPr>
          <w:color w:val="000000" w:themeColor="text1"/>
          <w:szCs w:val="24"/>
          <w:lang w:val="es-MX"/>
        </w:rPr>
        <w:t xml:space="preserve"> </w:t>
      </w:r>
      <w:r w:rsidRPr="0037647B">
        <w:rPr>
          <w:color w:val="000000" w:themeColor="text1"/>
          <w:szCs w:val="24"/>
          <w:lang w:val="es-MX"/>
        </w:rPr>
        <w:t>6</w:t>
      </w:r>
      <w:r w:rsidR="004E424B" w:rsidRPr="0037647B">
        <w:rPr>
          <w:color w:val="000000" w:themeColor="text1"/>
          <w:szCs w:val="24"/>
          <w:lang w:val="es-MX"/>
        </w:rPr>
        <w:t xml:space="preserve"> </w:t>
      </w:r>
      <w:r w:rsidR="007703F1" w:rsidRPr="0037647B">
        <w:rPr>
          <w:rStyle w:val="longtext"/>
          <w:color w:val="000000" w:themeColor="text1"/>
          <w:szCs w:val="24"/>
          <w:lang w:val="es-ES"/>
        </w:rPr>
        <w:t>IG-LGS</w:t>
      </w:r>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w:t>
      </w:r>
      <w:r w:rsidR="004E424B" w:rsidRPr="0037647B">
        <w:rPr>
          <w:rStyle w:val="longtext"/>
          <w:color w:val="000000" w:themeColor="text1"/>
          <w:szCs w:val="24"/>
          <w:lang w:val="es-ES"/>
        </w:rPr>
        <w:t xml:space="preserve"> </w:t>
      </w:r>
      <w:r w:rsidR="007703F1" w:rsidRPr="0037647B">
        <w:rPr>
          <w:rStyle w:val="longtext"/>
          <w:color w:val="000000" w:themeColor="text1"/>
          <w:szCs w:val="24"/>
          <w:lang w:val="es-ES"/>
        </w:rPr>
        <w:t>01. Ley General de Salud en Materia de Investigación</w:t>
      </w:r>
    </w:p>
    <w:p w:rsidR="00066ED0" w:rsidRPr="0037647B" w:rsidRDefault="00E656DC">
      <w:pPr>
        <w:pStyle w:val="level1bodystyle"/>
        <w:ind w:left="288"/>
        <w:jc w:val="both"/>
        <w:rPr>
          <w:color w:val="000000" w:themeColor="text1"/>
          <w:lang w:val="es-MX"/>
        </w:rPr>
      </w:pPr>
      <w:r w:rsidRPr="0037647B">
        <w:rPr>
          <w:color w:val="000000" w:themeColor="text1"/>
          <w:lang w:val="es-MX"/>
        </w:rPr>
        <w:t>V</w:t>
      </w:r>
      <w:r w:rsidR="004E424B" w:rsidRPr="0037647B">
        <w:rPr>
          <w:color w:val="000000" w:themeColor="text1"/>
          <w:lang w:val="es-MX"/>
        </w:rPr>
        <w:t xml:space="preserve">I. </w:t>
      </w:r>
      <w:r w:rsidRPr="0037647B">
        <w:rPr>
          <w:color w:val="000000" w:themeColor="text1"/>
          <w:lang w:val="es-MX"/>
        </w:rPr>
        <w:t>7 GA 100</w:t>
      </w:r>
      <w:r w:rsidR="004E424B" w:rsidRPr="0037647B">
        <w:rPr>
          <w:color w:val="000000" w:themeColor="text1"/>
          <w:lang w:val="es-MX"/>
        </w:rPr>
        <w:t xml:space="preserve"> </w:t>
      </w:r>
      <w:r w:rsidRPr="0037647B">
        <w:rPr>
          <w:color w:val="000000" w:themeColor="text1"/>
          <w:lang w:val="es-MX"/>
        </w:rPr>
        <w:t>-</w:t>
      </w:r>
      <w:r w:rsidR="004E424B" w:rsidRPr="0037647B">
        <w:rPr>
          <w:color w:val="000000" w:themeColor="text1"/>
          <w:lang w:val="es-MX"/>
        </w:rPr>
        <w:t xml:space="preserve"> </w:t>
      </w:r>
      <w:r w:rsidRPr="0037647B">
        <w:rPr>
          <w:color w:val="000000" w:themeColor="text1"/>
          <w:lang w:val="es-MX"/>
        </w:rPr>
        <w:t xml:space="preserve">G. Reglamento </w:t>
      </w:r>
      <w:r w:rsidR="004E424B" w:rsidRPr="0037647B">
        <w:rPr>
          <w:color w:val="000000" w:themeColor="text1"/>
          <w:lang w:val="es-MX"/>
        </w:rPr>
        <w:t>I</w:t>
      </w:r>
      <w:r w:rsidRPr="0037647B">
        <w:rPr>
          <w:color w:val="000000" w:themeColor="text1"/>
          <w:lang w:val="es-MX"/>
        </w:rPr>
        <w:t xml:space="preserve">nterno de Investigación de la Facultad de Medicina y </w:t>
      </w:r>
      <w:r w:rsidR="006F6B4E" w:rsidRPr="0037647B">
        <w:rPr>
          <w:color w:val="000000" w:themeColor="text1"/>
          <w:lang w:val="es-MX"/>
        </w:rPr>
        <w:t>Hospital Universitario</w:t>
      </w:r>
      <w:r w:rsidR="000A2625" w:rsidRPr="0037647B">
        <w:rPr>
          <w:color w:val="000000" w:themeColor="text1"/>
          <w:lang w:val="es-MX"/>
        </w:rPr>
        <w:t>.</w:t>
      </w:r>
    </w:p>
    <w:p w:rsidR="00066ED0" w:rsidRPr="0037647B" w:rsidRDefault="00E656DC">
      <w:pPr>
        <w:pStyle w:val="level1bodystyle"/>
        <w:ind w:left="288"/>
        <w:jc w:val="both"/>
        <w:rPr>
          <w:color w:val="000000" w:themeColor="text1"/>
          <w:lang w:val="es-MX"/>
        </w:rPr>
      </w:pPr>
      <w:r w:rsidRPr="0037647B">
        <w:rPr>
          <w:color w:val="000000" w:themeColor="text1"/>
          <w:lang w:val="es-MX"/>
        </w:rPr>
        <w:t>VI.</w:t>
      </w:r>
      <w:r w:rsidR="004E424B" w:rsidRPr="0037647B">
        <w:rPr>
          <w:color w:val="000000" w:themeColor="text1"/>
          <w:lang w:val="es-MX"/>
        </w:rPr>
        <w:t xml:space="preserve"> </w:t>
      </w:r>
      <w:r w:rsidRPr="0037647B">
        <w:rPr>
          <w:color w:val="000000" w:themeColor="text1"/>
          <w:lang w:val="es-MX"/>
        </w:rPr>
        <w:t xml:space="preserve">8. BPC_editado. Buenas </w:t>
      </w:r>
      <w:r w:rsidR="004E424B" w:rsidRPr="0037647B">
        <w:rPr>
          <w:color w:val="000000" w:themeColor="text1"/>
          <w:lang w:val="es-MX"/>
        </w:rPr>
        <w:t>P</w:t>
      </w:r>
      <w:r w:rsidRPr="0037647B">
        <w:rPr>
          <w:color w:val="000000" w:themeColor="text1"/>
          <w:lang w:val="es-MX"/>
        </w:rPr>
        <w:t>r</w:t>
      </w:r>
      <w:r w:rsidR="004E424B" w:rsidRPr="0037647B">
        <w:rPr>
          <w:color w:val="000000" w:themeColor="text1"/>
          <w:lang w:val="es-MX"/>
        </w:rPr>
        <w:t>á</w:t>
      </w:r>
      <w:r w:rsidRPr="0037647B">
        <w:rPr>
          <w:color w:val="000000" w:themeColor="text1"/>
          <w:lang w:val="es-MX"/>
        </w:rPr>
        <w:t xml:space="preserve">cticas </w:t>
      </w:r>
      <w:r w:rsidR="004E424B" w:rsidRPr="0037647B">
        <w:rPr>
          <w:color w:val="000000" w:themeColor="text1"/>
          <w:lang w:val="es-MX"/>
        </w:rPr>
        <w:t>C</w:t>
      </w:r>
      <w:r w:rsidRPr="0037647B">
        <w:rPr>
          <w:color w:val="000000" w:themeColor="text1"/>
          <w:lang w:val="es-MX"/>
        </w:rPr>
        <w:t>línicas.</w:t>
      </w:r>
    </w:p>
    <w:p w:rsidR="00066ED0" w:rsidRPr="0037647B" w:rsidRDefault="00E656DC">
      <w:pPr>
        <w:pStyle w:val="level1bodystyle"/>
        <w:ind w:left="288"/>
        <w:jc w:val="both"/>
        <w:rPr>
          <w:color w:val="000000" w:themeColor="text1"/>
          <w:lang w:val="es-MX"/>
        </w:rPr>
      </w:pPr>
      <w:r w:rsidRPr="0037647B">
        <w:rPr>
          <w:color w:val="000000" w:themeColor="text1"/>
          <w:lang w:val="es-MX"/>
        </w:rPr>
        <w:t>VI.</w:t>
      </w:r>
      <w:r w:rsidR="004E424B" w:rsidRPr="0037647B">
        <w:rPr>
          <w:color w:val="000000" w:themeColor="text1"/>
          <w:lang w:val="es-MX"/>
        </w:rPr>
        <w:t xml:space="preserve"> </w:t>
      </w:r>
      <w:r w:rsidRPr="0037647B">
        <w:rPr>
          <w:color w:val="000000" w:themeColor="text1"/>
          <w:lang w:val="es-MX"/>
        </w:rPr>
        <w:t>9. Americas_editado. Documento de las Américas</w:t>
      </w:r>
      <w:r w:rsidR="001871D2" w:rsidRPr="0037647B">
        <w:rPr>
          <w:color w:val="000000" w:themeColor="text1"/>
          <w:lang w:val="es-MX"/>
        </w:rPr>
        <w:t>.</w:t>
      </w:r>
    </w:p>
    <w:p w:rsidR="00066ED0" w:rsidRPr="0037647B" w:rsidRDefault="001871D2">
      <w:pPr>
        <w:pStyle w:val="level1bodystyle"/>
        <w:ind w:left="288"/>
        <w:jc w:val="both"/>
        <w:rPr>
          <w:color w:val="000000" w:themeColor="text1"/>
          <w:lang w:val="es-MX"/>
        </w:rPr>
      </w:pPr>
      <w:r w:rsidRPr="0037647B">
        <w:rPr>
          <w:color w:val="000000" w:themeColor="text1"/>
          <w:lang w:val="es-MX"/>
        </w:rPr>
        <w:t xml:space="preserve">VI.10. Normas_Tecnicas. Normas técnicas de la Ley General de Salud en </w:t>
      </w:r>
      <w:r w:rsidR="004E424B" w:rsidRPr="0037647B">
        <w:rPr>
          <w:color w:val="000000" w:themeColor="text1"/>
          <w:lang w:val="es-MX"/>
        </w:rPr>
        <w:t>M</w:t>
      </w:r>
      <w:r w:rsidRPr="0037647B">
        <w:rPr>
          <w:color w:val="000000" w:themeColor="text1"/>
          <w:lang w:val="es-MX"/>
        </w:rPr>
        <w:t xml:space="preserve">ateria de </w:t>
      </w:r>
      <w:r w:rsidR="004E424B" w:rsidRPr="0037647B">
        <w:rPr>
          <w:color w:val="000000" w:themeColor="text1"/>
          <w:lang w:val="es-MX"/>
        </w:rPr>
        <w:t>I</w:t>
      </w:r>
      <w:r w:rsidRPr="0037647B">
        <w:rPr>
          <w:color w:val="000000" w:themeColor="text1"/>
          <w:lang w:val="es-MX"/>
        </w:rPr>
        <w:t>nvestigación.</w:t>
      </w:r>
    </w:p>
    <w:p w:rsidR="00066ED0" w:rsidRPr="0037647B" w:rsidRDefault="001871D2">
      <w:pPr>
        <w:pStyle w:val="level1bodystyle"/>
        <w:ind w:left="288"/>
        <w:jc w:val="both"/>
        <w:rPr>
          <w:color w:val="000000" w:themeColor="text1"/>
          <w:lang w:val="es-MX"/>
        </w:rPr>
      </w:pPr>
      <w:r w:rsidRPr="0037647B">
        <w:rPr>
          <w:color w:val="000000" w:themeColor="text1"/>
          <w:lang w:val="es-MX"/>
        </w:rPr>
        <w:t>VI.</w:t>
      </w:r>
      <w:r w:rsidR="004E424B" w:rsidRPr="0037647B">
        <w:rPr>
          <w:color w:val="000000" w:themeColor="text1"/>
          <w:lang w:val="es-MX"/>
        </w:rPr>
        <w:t xml:space="preserve"> </w:t>
      </w:r>
      <w:r w:rsidRPr="0037647B">
        <w:rPr>
          <w:color w:val="000000" w:themeColor="text1"/>
          <w:lang w:val="es-MX"/>
        </w:rPr>
        <w:t xml:space="preserve">11. CIOMS_editado. </w:t>
      </w:r>
      <w:r w:rsidRPr="0037647B">
        <w:rPr>
          <w:bCs/>
          <w:color w:val="000000" w:themeColor="text1"/>
          <w:szCs w:val="24"/>
          <w:lang w:val="es-ES"/>
        </w:rPr>
        <w:t>Pautas éticas internacionales para la investigación biomédica en seres humanos.</w:t>
      </w:r>
    </w:p>
    <w:p w:rsidR="00830631" w:rsidRPr="0037647B" w:rsidRDefault="00830631" w:rsidP="00DB53D2">
      <w:pPr>
        <w:jc w:val="both"/>
        <w:rPr>
          <w:rFonts w:ascii="Arial" w:hAnsi="Arial" w:cs="Arial"/>
          <w:b/>
          <w:color w:val="000000" w:themeColor="text1"/>
        </w:rPr>
      </w:pPr>
    </w:p>
    <w:p w:rsidR="00830631" w:rsidRPr="0037647B" w:rsidRDefault="00830631" w:rsidP="00DB53D2">
      <w:pPr>
        <w:jc w:val="both"/>
        <w:rPr>
          <w:rFonts w:ascii="Arial" w:hAnsi="Arial" w:cs="Arial"/>
          <w:b/>
          <w:color w:val="000000" w:themeColor="text1"/>
        </w:rPr>
      </w:pPr>
      <w:r w:rsidRPr="0037647B">
        <w:rPr>
          <w:rFonts w:ascii="Arial" w:hAnsi="Arial" w:cs="Arial"/>
          <w:b/>
          <w:color w:val="000000" w:themeColor="text1"/>
        </w:rPr>
        <w:t>VII. LIGAS DE INTERES</w:t>
      </w:r>
      <w:r w:rsidR="002E2FEC" w:rsidRPr="0037647B">
        <w:rPr>
          <w:rFonts w:ascii="Arial" w:hAnsi="Arial" w:cs="Arial"/>
          <w:b/>
          <w:color w:val="000000" w:themeColor="text1"/>
        </w:rPr>
        <w:t xml:space="preserve"> O DE DESCARGA</w:t>
      </w:r>
    </w:p>
    <w:p w:rsidR="00CB37E8" w:rsidRPr="0037647B" w:rsidRDefault="00CB37E8" w:rsidP="00DB53D2">
      <w:pPr>
        <w:ind w:firstLine="708"/>
        <w:jc w:val="both"/>
        <w:rPr>
          <w:rFonts w:ascii="Arial" w:hAnsi="Arial" w:cs="Arial"/>
          <w:color w:val="000000" w:themeColor="text1"/>
        </w:rPr>
      </w:pPr>
      <w:r w:rsidRPr="0037647B">
        <w:rPr>
          <w:rFonts w:ascii="Arial" w:hAnsi="Arial" w:cs="Arial"/>
          <w:color w:val="000000" w:themeColor="text1"/>
        </w:rPr>
        <w:t xml:space="preserve">VII.1 </w:t>
      </w:r>
      <w:r w:rsidR="003D3DE3" w:rsidRPr="0037647B">
        <w:rPr>
          <w:rFonts w:ascii="Arial" w:hAnsi="Arial" w:cs="Arial"/>
          <w:color w:val="000000" w:themeColor="text1"/>
        </w:rPr>
        <w:t>Descargas de las diferentes</w:t>
      </w:r>
      <w:r w:rsidRPr="0037647B">
        <w:rPr>
          <w:rFonts w:ascii="Arial" w:hAnsi="Arial" w:cs="Arial"/>
          <w:color w:val="000000" w:themeColor="text1"/>
        </w:rPr>
        <w:t xml:space="preserve"> regulaciones:</w:t>
      </w:r>
    </w:p>
    <w:p w:rsidR="00CB37E8" w:rsidRDefault="005818B7" w:rsidP="00DB53D2">
      <w:pPr>
        <w:ind w:firstLine="708"/>
        <w:jc w:val="both"/>
      </w:pPr>
      <w:hyperlink r:id="rId9" w:history="1">
        <w:r w:rsidR="00D20DCE" w:rsidRPr="001E1A94">
          <w:rPr>
            <w:rStyle w:val="Hipervnculo"/>
          </w:rPr>
          <w:t>http://www.medicina.uanl.mx/investigacion/</w:t>
        </w:r>
      </w:hyperlink>
    </w:p>
    <w:p w:rsidR="00D20DCE" w:rsidRPr="0037647B" w:rsidRDefault="00D20DCE" w:rsidP="00DB53D2">
      <w:pPr>
        <w:ind w:firstLine="708"/>
        <w:jc w:val="both"/>
        <w:rPr>
          <w:rFonts w:ascii="Arial" w:hAnsi="Arial" w:cs="Arial"/>
          <w:color w:val="000000" w:themeColor="text1"/>
        </w:rPr>
      </w:pPr>
    </w:p>
    <w:p w:rsidR="00803517" w:rsidRPr="0037647B" w:rsidRDefault="00803517" w:rsidP="00DB53D2">
      <w:pPr>
        <w:jc w:val="both"/>
        <w:rPr>
          <w:rFonts w:ascii="Arial" w:hAnsi="Arial" w:cs="Arial"/>
          <w:b/>
          <w:color w:val="000000" w:themeColor="text1"/>
        </w:rPr>
      </w:pPr>
      <w:r w:rsidRPr="0037647B">
        <w:rPr>
          <w:rFonts w:ascii="Arial" w:hAnsi="Arial" w:cs="Arial"/>
          <w:b/>
          <w:color w:val="000000" w:themeColor="text1"/>
        </w:rPr>
        <w:t>VI</w:t>
      </w:r>
      <w:r w:rsidR="00830631" w:rsidRPr="0037647B">
        <w:rPr>
          <w:rFonts w:ascii="Arial" w:hAnsi="Arial" w:cs="Arial"/>
          <w:b/>
          <w:color w:val="000000" w:themeColor="text1"/>
        </w:rPr>
        <w:t>I</w:t>
      </w:r>
      <w:r w:rsidRPr="0037647B">
        <w:rPr>
          <w:rFonts w:ascii="Arial" w:hAnsi="Arial" w:cs="Arial"/>
          <w:b/>
          <w:color w:val="000000" w:themeColor="text1"/>
        </w:rPr>
        <w:t>I. REFERENCIAS</w:t>
      </w:r>
    </w:p>
    <w:p w:rsidR="002D6A2D" w:rsidRPr="0037647B" w:rsidRDefault="002D6A2D" w:rsidP="00DB53D2">
      <w:pPr>
        <w:jc w:val="both"/>
        <w:rPr>
          <w:rFonts w:ascii="Arial" w:hAnsi="Arial" w:cs="Arial"/>
          <w:b/>
          <w:color w:val="000000" w:themeColor="text1"/>
        </w:rPr>
      </w:pPr>
    </w:p>
    <w:p w:rsidR="001B213D" w:rsidRPr="0037647B" w:rsidRDefault="001B213D" w:rsidP="00DB53D2">
      <w:pPr>
        <w:jc w:val="both"/>
        <w:rPr>
          <w:rFonts w:ascii="Arial" w:hAnsi="Arial" w:cs="Arial"/>
          <w:color w:val="000000" w:themeColor="text1"/>
          <w:lang w:val="es-MX"/>
        </w:rPr>
      </w:pPr>
      <w:r w:rsidRPr="0037647B">
        <w:rPr>
          <w:rFonts w:ascii="Arial" w:hAnsi="Arial" w:cs="Arial"/>
          <w:color w:val="000000" w:themeColor="text1"/>
          <w:lang w:val="es-MX"/>
        </w:rPr>
        <w:tab/>
        <w:t xml:space="preserve">1.- </w:t>
      </w:r>
      <w:r w:rsidR="004E424B" w:rsidRPr="0037647B">
        <w:rPr>
          <w:rFonts w:ascii="Arial" w:hAnsi="Arial" w:cs="Arial"/>
          <w:color w:val="000000" w:themeColor="text1"/>
          <w:lang w:val="es-MX"/>
        </w:rPr>
        <w:t>Reporte</w:t>
      </w:r>
      <w:r w:rsidRPr="0037647B">
        <w:rPr>
          <w:rFonts w:ascii="Arial" w:hAnsi="Arial" w:cs="Arial"/>
          <w:color w:val="000000" w:themeColor="text1"/>
          <w:lang w:val="es-MX"/>
        </w:rPr>
        <w:t xml:space="preserve"> Belmont</w:t>
      </w:r>
    </w:p>
    <w:p w:rsidR="00C21D3D" w:rsidRPr="0037647B" w:rsidRDefault="001B213D" w:rsidP="00C21D3D">
      <w:pPr>
        <w:ind w:firstLine="708"/>
        <w:jc w:val="both"/>
        <w:rPr>
          <w:rFonts w:ascii="Arial" w:hAnsi="Arial" w:cs="Arial"/>
          <w:color w:val="000000" w:themeColor="text1"/>
          <w:lang w:val="es-MX"/>
        </w:rPr>
      </w:pPr>
      <w:r w:rsidRPr="0037647B">
        <w:rPr>
          <w:rFonts w:ascii="Arial" w:hAnsi="Arial" w:cs="Arial"/>
          <w:color w:val="000000" w:themeColor="text1"/>
          <w:lang w:val="es-MX"/>
        </w:rPr>
        <w:t xml:space="preserve">2.- </w:t>
      </w:r>
      <w:r w:rsidR="007703F1" w:rsidRPr="0037647B">
        <w:rPr>
          <w:rFonts w:ascii="Arial" w:hAnsi="Arial" w:cs="Arial"/>
          <w:color w:val="000000" w:themeColor="text1"/>
          <w:lang w:val="es-MX"/>
        </w:rPr>
        <w:t>21 CFR 56.108, 56.109, 56.113</w:t>
      </w:r>
    </w:p>
    <w:p w:rsidR="00C21D3D" w:rsidRPr="0037647B" w:rsidRDefault="007703F1" w:rsidP="00C21D3D">
      <w:pPr>
        <w:ind w:firstLine="708"/>
        <w:jc w:val="both"/>
        <w:rPr>
          <w:rFonts w:ascii="Arial" w:hAnsi="Arial" w:cs="Arial"/>
          <w:color w:val="000000" w:themeColor="text1"/>
          <w:lang w:val="es-MX"/>
        </w:rPr>
      </w:pPr>
      <w:r w:rsidRPr="0037647B">
        <w:rPr>
          <w:rFonts w:ascii="Arial" w:hAnsi="Arial" w:cs="Arial"/>
          <w:color w:val="000000" w:themeColor="text1"/>
          <w:lang w:val="es-MX"/>
        </w:rPr>
        <w:t>3.- 45 CFR 46.108</w:t>
      </w:r>
    </w:p>
    <w:p w:rsidR="001B213D" w:rsidRPr="0037647B" w:rsidRDefault="001B213D" w:rsidP="00DB53D2">
      <w:pPr>
        <w:ind w:firstLine="708"/>
        <w:jc w:val="both"/>
        <w:rPr>
          <w:rFonts w:ascii="Arial" w:hAnsi="Arial" w:cs="Arial"/>
          <w:color w:val="000000" w:themeColor="text1"/>
          <w:lang w:val="es-MX"/>
        </w:rPr>
      </w:pPr>
      <w:r w:rsidRPr="0037647B">
        <w:rPr>
          <w:rFonts w:ascii="Arial" w:hAnsi="Arial" w:cs="Arial"/>
          <w:color w:val="000000" w:themeColor="text1"/>
          <w:lang w:val="es-MX"/>
        </w:rPr>
        <w:t xml:space="preserve">4.- Código de </w:t>
      </w:r>
      <w:r w:rsidR="00C342B0" w:rsidRPr="0037647B">
        <w:rPr>
          <w:rFonts w:ascii="Arial" w:hAnsi="Arial" w:cs="Arial"/>
          <w:color w:val="000000" w:themeColor="text1"/>
          <w:lang w:val="es-MX"/>
        </w:rPr>
        <w:t>Núremberg</w:t>
      </w:r>
    </w:p>
    <w:p w:rsidR="001B213D" w:rsidRPr="0037647B" w:rsidRDefault="001B213D" w:rsidP="00DB53D2">
      <w:pPr>
        <w:ind w:firstLine="708"/>
        <w:jc w:val="both"/>
        <w:rPr>
          <w:rFonts w:ascii="Arial" w:hAnsi="Arial" w:cs="Arial"/>
          <w:color w:val="000000" w:themeColor="text1"/>
          <w:lang w:val="es-MX"/>
        </w:rPr>
      </w:pPr>
      <w:r w:rsidRPr="0037647B">
        <w:rPr>
          <w:rFonts w:ascii="Arial" w:hAnsi="Arial" w:cs="Arial"/>
          <w:color w:val="000000" w:themeColor="text1"/>
          <w:lang w:val="es-MX"/>
        </w:rPr>
        <w:t>5.- Declaración de Helsinki</w:t>
      </w:r>
    </w:p>
    <w:p w:rsidR="003F3D5E" w:rsidRPr="0037647B" w:rsidRDefault="001B213D" w:rsidP="003F3D5E">
      <w:pPr>
        <w:ind w:left="708"/>
        <w:jc w:val="both"/>
        <w:rPr>
          <w:rFonts w:ascii="Arial" w:hAnsi="Arial" w:cs="Arial"/>
          <w:color w:val="000000" w:themeColor="text1"/>
          <w:lang w:val="es-MX"/>
        </w:rPr>
      </w:pPr>
      <w:r w:rsidRPr="0037647B">
        <w:rPr>
          <w:rFonts w:ascii="Arial" w:hAnsi="Arial" w:cs="Arial"/>
          <w:color w:val="000000" w:themeColor="text1"/>
          <w:lang w:val="es-MX"/>
        </w:rPr>
        <w:lastRenderedPageBreak/>
        <w:t xml:space="preserve">6.- Ley General de Salud en </w:t>
      </w:r>
      <w:r w:rsidR="00C32E85" w:rsidRPr="0037647B">
        <w:rPr>
          <w:rFonts w:ascii="Arial" w:hAnsi="Arial" w:cs="Arial"/>
          <w:color w:val="000000" w:themeColor="text1"/>
          <w:lang w:val="es-MX"/>
        </w:rPr>
        <w:t>M</w:t>
      </w:r>
      <w:r w:rsidRPr="0037647B">
        <w:rPr>
          <w:rFonts w:ascii="Arial" w:hAnsi="Arial" w:cs="Arial"/>
          <w:color w:val="000000" w:themeColor="text1"/>
          <w:lang w:val="es-MX"/>
        </w:rPr>
        <w:t>ateria de Investigación de los Estados Unidos Mexicanos, artículos 99,101-106,</w:t>
      </w:r>
      <w:r w:rsidR="00894C3C" w:rsidRPr="0037647B">
        <w:rPr>
          <w:rFonts w:ascii="Arial" w:hAnsi="Arial" w:cs="Arial"/>
          <w:color w:val="000000" w:themeColor="text1"/>
          <w:lang w:val="es-MX"/>
        </w:rPr>
        <w:t xml:space="preserve">113, 114, </w:t>
      </w:r>
      <w:r w:rsidR="003F3D5E" w:rsidRPr="0037647B">
        <w:rPr>
          <w:rFonts w:ascii="Arial" w:hAnsi="Arial" w:cs="Arial"/>
          <w:color w:val="000000" w:themeColor="text1"/>
          <w:lang w:val="es-MX"/>
        </w:rPr>
        <w:t xml:space="preserve">13, 14 </w:t>
      </w:r>
      <w:r w:rsidR="00C32E85" w:rsidRPr="0037647B">
        <w:rPr>
          <w:rFonts w:ascii="Arial" w:hAnsi="Arial" w:cs="Arial"/>
          <w:color w:val="000000" w:themeColor="text1"/>
          <w:lang w:val="es-MX"/>
        </w:rPr>
        <w:t>en</w:t>
      </w:r>
      <w:r w:rsidR="003F3D5E" w:rsidRPr="0037647B">
        <w:rPr>
          <w:rFonts w:ascii="Arial" w:hAnsi="Arial" w:cs="Arial"/>
          <w:color w:val="000000" w:themeColor="text1"/>
          <w:lang w:val="es-MX"/>
        </w:rPr>
        <w:t xml:space="preserve"> su</w:t>
      </w:r>
      <w:r w:rsidR="00C32E85" w:rsidRPr="0037647B">
        <w:rPr>
          <w:rFonts w:ascii="Arial" w:hAnsi="Arial" w:cs="Arial"/>
          <w:color w:val="000000" w:themeColor="text1"/>
          <w:lang w:val="es-MX"/>
        </w:rPr>
        <w:t>s</w:t>
      </w:r>
      <w:r w:rsidR="003F3D5E" w:rsidRPr="0037647B">
        <w:rPr>
          <w:rFonts w:ascii="Arial" w:hAnsi="Arial" w:cs="Arial"/>
          <w:color w:val="000000" w:themeColor="text1"/>
          <w:lang w:val="es-MX"/>
        </w:rPr>
        <w:t xml:space="preserve"> fraccion</w:t>
      </w:r>
      <w:r w:rsidR="00C32E85" w:rsidRPr="0037647B">
        <w:rPr>
          <w:rFonts w:ascii="Arial" w:hAnsi="Arial" w:cs="Arial"/>
          <w:color w:val="000000" w:themeColor="text1"/>
          <w:lang w:val="es-MX"/>
        </w:rPr>
        <w:t>es</w:t>
      </w:r>
      <w:r w:rsidR="00894C3C" w:rsidRPr="0037647B">
        <w:rPr>
          <w:rFonts w:ascii="Arial" w:hAnsi="Arial" w:cs="Arial"/>
          <w:color w:val="000000" w:themeColor="text1"/>
          <w:lang w:val="es-MX"/>
        </w:rPr>
        <w:t xml:space="preserve"> VI, </w:t>
      </w:r>
      <w:r w:rsidR="003F3D5E" w:rsidRPr="0037647B">
        <w:rPr>
          <w:rFonts w:ascii="Arial" w:hAnsi="Arial" w:cs="Arial"/>
          <w:color w:val="000000" w:themeColor="text1"/>
          <w:lang w:val="es-MX"/>
        </w:rPr>
        <w:t xml:space="preserve">VII y VIII, </w:t>
      </w:r>
      <w:r w:rsidR="00C32E85" w:rsidRPr="0037647B">
        <w:rPr>
          <w:rFonts w:ascii="Arial" w:hAnsi="Arial" w:cs="Arial"/>
          <w:color w:val="000000" w:themeColor="text1"/>
          <w:lang w:val="es-MX"/>
        </w:rPr>
        <w:t xml:space="preserve">y </w:t>
      </w:r>
      <w:r w:rsidR="003F3D5E" w:rsidRPr="0037647B">
        <w:rPr>
          <w:rFonts w:ascii="Arial" w:hAnsi="Arial" w:cs="Arial"/>
          <w:color w:val="000000" w:themeColor="text1"/>
          <w:lang w:val="es-MX"/>
        </w:rPr>
        <w:t>29</w:t>
      </w:r>
      <w:r w:rsidR="00C32E85" w:rsidRPr="0037647B">
        <w:rPr>
          <w:rFonts w:ascii="Arial" w:hAnsi="Arial" w:cs="Arial"/>
          <w:color w:val="000000" w:themeColor="text1"/>
          <w:lang w:val="es-MX"/>
        </w:rPr>
        <w:t>;</w:t>
      </w:r>
      <w:r w:rsidR="003F3D5E" w:rsidRPr="0037647B">
        <w:rPr>
          <w:rFonts w:ascii="Arial" w:hAnsi="Arial" w:cs="Arial"/>
          <w:color w:val="000000" w:themeColor="text1"/>
          <w:lang w:val="es-MX"/>
        </w:rPr>
        <w:t xml:space="preserve"> as</w:t>
      </w:r>
      <w:r w:rsidR="00C32E85" w:rsidRPr="0037647B">
        <w:rPr>
          <w:rFonts w:ascii="Arial" w:hAnsi="Arial" w:cs="Arial"/>
          <w:color w:val="000000" w:themeColor="text1"/>
          <w:lang w:val="es-MX"/>
        </w:rPr>
        <w:t>í</w:t>
      </w:r>
      <w:r w:rsidR="003F3D5E" w:rsidRPr="0037647B">
        <w:rPr>
          <w:rFonts w:ascii="Arial" w:hAnsi="Arial" w:cs="Arial"/>
          <w:color w:val="000000" w:themeColor="text1"/>
          <w:lang w:val="es-MX"/>
        </w:rPr>
        <w:t xml:space="preserve"> como de las </w:t>
      </w:r>
      <w:r w:rsidRPr="0037647B">
        <w:rPr>
          <w:rFonts w:ascii="Arial" w:hAnsi="Arial" w:cs="Arial"/>
          <w:color w:val="000000" w:themeColor="text1"/>
          <w:lang w:val="es-MX"/>
        </w:rPr>
        <w:t>Normas Técnicas 313-315</w:t>
      </w:r>
      <w:r w:rsidR="00894C3C" w:rsidRPr="0037647B">
        <w:rPr>
          <w:rFonts w:ascii="Arial" w:hAnsi="Arial" w:cs="Arial"/>
          <w:color w:val="000000" w:themeColor="text1"/>
          <w:lang w:val="es-MX"/>
        </w:rPr>
        <w:t xml:space="preserve">. </w:t>
      </w:r>
    </w:p>
    <w:p w:rsidR="007F4204" w:rsidRPr="0037647B" w:rsidRDefault="001B213D" w:rsidP="007F4204">
      <w:pPr>
        <w:ind w:left="708"/>
        <w:jc w:val="both"/>
        <w:rPr>
          <w:rFonts w:ascii="Arial" w:hAnsi="Arial" w:cs="Arial"/>
          <w:color w:val="000000" w:themeColor="text1"/>
          <w:lang w:val="es-MX"/>
        </w:rPr>
      </w:pPr>
      <w:r w:rsidRPr="0037647B">
        <w:rPr>
          <w:rFonts w:ascii="Arial" w:hAnsi="Arial" w:cs="Arial"/>
          <w:color w:val="000000" w:themeColor="text1"/>
          <w:lang w:val="es-MX"/>
        </w:rPr>
        <w:t>7.- Reglamento de Investigación de la Facultad de Medicina – UANL</w:t>
      </w:r>
    </w:p>
    <w:p w:rsidR="001B213D" w:rsidRPr="0037647B" w:rsidRDefault="001B213D" w:rsidP="00DB53D2">
      <w:pPr>
        <w:ind w:left="708"/>
        <w:jc w:val="both"/>
        <w:rPr>
          <w:rFonts w:ascii="Arial" w:hAnsi="Arial" w:cs="Arial"/>
          <w:color w:val="000000" w:themeColor="text1"/>
          <w:lang w:val="es-MX"/>
        </w:rPr>
      </w:pPr>
      <w:r w:rsidRPr="0037647B">
        <w:rPr>
          <w:rFonts w:ascii="Arial" w:hAnsi="Arial" w:cs="Arial"/>
          <w:color w:val="000000" w:themeColor="text1"/>
          <w:lang w:val="es-MX"/>
        </w:rPr>
        <w:t xml:space="preserve">8.- </w:t>
      </w:r>
      <w:r w:rsidR="006401B4" w:rsidRPr="0037647B">
        <w:rPr>
          <w:rFonts w:ascii="Arial" w:hAnsi="Arial" w:cs="Arial"/>
          <w:color w:val="000000" w:themeColor="text1"/>
          <w:lang w:val="es-MX"/>
        </w:rPr>
        <w:t>Referencia de la AAHRPP</w:t>
      </w:r>
      <w:r w:rsidR="00E81964" w:rsidRPr="0037647B">
        <w:rPr>
          <w:rFonts w:ascii="Arial" w:hAnsi="Arial" w:cs="Arial"/>
          <w:color w:val="000000" w:themeColor="text1"/>
          <w:lang w:val="es-MX"/>
        </w:rPr>
        <w:t xml:space="preserve">. </w:t>
      </w:r>
      <w:r w:rsidR="007703F1" w:rsidRPr="0037647B">
        <w:rPr>
          <w:rFonts w:ascii="Arial" w:hAnsi="Arial" w:cs="Arial"/>
          <w:color w:val="000000" w:themeColor="text1"/>
          <w:lang w:val="es-MX"/>
        </w:rPr>
        <w:t>Elementos I.1.A, I.1.C, I.3.B, I.3.C., I</w:t>
      </w:r>
      <w:proofErr w:type="gramStart"/>
      <w:r w:rsidR="007703F1" w:rsidRPr="0037647B">
        <w:rPr>
          <w:rFonts w:ascii="Arial" w:hAnsi="Arial" w:cs="Arial"/>
          <w:color w:val="000000" w:themeColor="text1"/>
          <w:lang w:val="es-MX"/>
        </w:rPr>
        <w:t>,1,D</w:t>
      </w:r>
      <w:proofErr w:type="gramEnd"/>
      <w:r w:rsidR="007703F1" w:rsidRPr="0037647B">
        <w:rPr>
          <w:rFonts w:ascii="Arial" w:hAnsi="Arial" w:cs="Arial"/>
          <w:color w:val="000000" w:themeColor="text1"/>
          <w:lang w:val="es-MX"/>
        </w:rPr>
        <w:t>., I.2.</w:t>
      </w:r>
    </w:p>
    <w:p w:rsidR="00895C0B" w:rsidRPr="0037647B" w:rsidRDefault="00895C0B" w:rsidP="00DB53D2">
      <w:pPr>
        <w:ind w:left="708"/>
        <w:jc w:val="both"/>
        <w:rPr>
          <w:rFonts w:ascii="Arial" w:hAnsi="Arial" w:cs="Arial"/>
          <w:color w:val="000000" w:themeColor="text1"/>
          <w:lang w:val="es-MX"/>
        </w:rPr>
      </w:pPr>
      <w:r w:rsidRPr="0037647B">
        <w:rPr>
          <w:rFonts w:ascii="Arial" w:hAnsi="Arial" w:cs="Arial"/>
          <w:color w:val="000000" w:themeColor="text1"/>
          <w:lang w:val="es-MX"/>
        </w:rPr>
        <w:t xml:space="preserve">9.- Guía Nacional para la Integración y el </w:t>
      </w:r>
      <w:r w:rsidR="003C4B14" w:rsidRPr="0037647B">
        <w:rPr>
          <w:rFonts w:ascii="Arial" w:hAnsi="Arial" w:cs="Arial"/>
          <w:color w:val="000000" w:themeColor="text1"/>
          <w:lang w:val="es-MX"/>
        </w:rPr>
        <w:t>Funcionamiento</w:t>
      </w:r>
      <w:r w:rsidRPr="0037647B">
        <w:rPr>
          <w:rFonts w:ascii="Arial" w:hAnsi="Arial" w:cs="Arial"/>
          <w:color w:val="000000" w:themeColor="text1"/>
          <w:lang w:val="es-MX"/>
        </w:rPr>
        <w:t xml:space="preserve"> de los Comités de Ética en Investigación, </w:t>
      </w:r>
      <w:r w:rsidR="00DB3FD2">
        <w:rPr>
          <w:rFonts w:ascii="Arial" w:hAnsi="Arial" w:cs="Arial"/>
          <w:color w:val="000000" w:themeColor="text1"/>
          <w:lang w:val="es-MX"/>
        </w:rPr>
        <w:t>Sexta Edición, 2018</w:t>
      </w:r>
      <w:r w:rsidRPr="0037647B">
        <w:rPr>
          <w:rFonts w:ascii="Arial" w:hAnsi="Arial" w:cs="Arial"/>
          <w:color w:val="000000" w:themeColor="text1"/>
          <w:lang w:val="es-MX"/>
        </w:rPr>
        <w:t>.</w:t>
      </w:r>
      <w:bookmarkStart w:id="0" w:name="_GoBack"/>
      <w:bookmarkEnd w:id="0"/>
    </w:p>
    <w:sectPr w:rsidR="00895C0B" w:rsidRPr="0037647B" w:rsidSect="00FD6F60">
      <w:headerReference w:type="default" r:id="rId10"/>
      <w:footerReference w:type="default" r:id="rId11"/>
      <w:pgSz w:w="12242" w:h="15842" w:code="1"/>
      <w:pgMar w:top="1701" w:right="1701" w:bottom="1418" w:left="1701" w:header="1703" w:footer="9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B7" w:rsidRDefault="005818B7" w:rsidP="00CB37E8">
      <w:r>
        <w:separator/>
      </w:r>
    </w:p>
  </w:endnote>
  <w:endnote w:type="continuationSeparator" w:id="0">
    <w:p w:rsidR="005818B7" w:rsidRDefault="005818B7"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7D06DE" w:rsidRDefault="007D06DE">
            <w:pPr>
              <w:pStyle w:val="Piedepgina"/>
              <w:jc w:val="right"/>
            </w:pPr>
            <w:r>
              <w:t xml:space="preserve">Página </w:t>
            </w:r>
            <w:r w:rsidR="00522CB6">
              <w:rPr>
                <w:b/>
              </w:rPr>
              <w:fldChar w:fldCharType="begin"/>
            </w:r>
            <w:r>
              <w:rPr>
                <w:b/>
              </w:rPr>
              <w:instrText>PAGE</w:instrText>
            </w:r>
            <w:r w:rsidR="00522CB6">
              <w:rPr>
                <w:b/>
              </w:rPr>
              <w:fldChar w:fldCharType="separate"/>
            </w:r>
            <w:r w:rsidR="00DB3FD2">
              <w:rPr>
                <w:b/>
                <w:noProof/>
              </w:rPr>
              <w:t>10</w:t>
            </w:r>
            <w:r w:rsidR="00522CB6">
              <w:rPr>
                <w:b/>
              </w:rPr>
              <w:fldChar w:fldCharType="end"/>
            </w:r>
            <w:r>
              <w:t xml:space="preserve"> de </w:t>
            </w:r>
            <w:r w:rsidR="00522CB6">
              <w:rPr>
                <w:b/>
              </w:rPr>
              <w:fldChar w:fldCharType="begin"/>
            </w:r>
            <w:r>
              <w:rPr>
                <w:b/>
              </w:rPr>
              <w:instrText>NUMPAGES</w:instrText>
            </w:r>
            <w:r w:rsidR="00522CB6">
              <w:rPr>
                <w:b/>
              </w:rPr>
              <w:fldChar w:fldCharType="separate"/>
            </w:r>
            <w:r w:rsidR="00DB3FD2">
              <w:rPr>
                <w:b/>
                <w:noProof/>
              </w:rPr>
              <w:t>10</w:t>
            </w:r>
            <w:r w:rsidR="00522CB6">
              <w:rPr>
                <w:b/>
              </w:rPr>
              <w:fldChar w:fldCharType="end"/>
            </w:r>
          </w:p>
        </w:sdtContent>
      </w:sdt>
    </w:sdtContent>
  </w:sdt>
  <w:p w:rsidR="007D06DE" w:rsidRDefault="007D0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B7" w:rsidRDefault="005818B7" w:rsidP="00CB37E8">
      <w:r>
        <w:separator/>
      </w:r>
    </w:p>
  </w:footnote>
  <w:footnote w:type="continuationSeparator" w:id="0">
    <w:p w:rsidR="005818B7" w:rsidRDefault="005818B7"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6DE" w:rsidRDefault="007D06DE">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7D06DE" w:rsidTr="007A5DCE">
      <w:trPr>
        <w:trHeight w:val="410"/>
      </w:trPr>
      <w:tc>
        <w:tcPr>
          <w:tcW w:w="1196" w:type="pct"/>
          <w:vMerge w:val="restart"/>
        </w:tcPr>
        <w:p w:rsidR="007D06DE" w:rsidRDefault="007D06DE" w:rsidP="007A5DCE">
          <w:pPr>
            <w:rPr>
              <w:sz w:val="10"/>
            </w:rPr>
          </w:pPr>
        </w:p>
        <w:p w:rsidR="007D06DE" w:rsidRDefault="007D06DE" w:rsidP="007A5DCE">
          <w:pPr>
            <w:rPr>
              <w:rFonts w:ascii="Arial" w:hAnsi="Arial" w:cs="Arial"/>
              <w:sz w:val="12"/>
            </w:rPr>
          </w:pPr>
        </w:p>
        <w:p w:rsidR="007D06DE" w:rsidRDefault="007D06DE" w:rsidP="007A5DCE">
          <w:pPr>
            <w:rPr>
              <w:rFonts w:ascii="Arial" w:hAnsi="Arial" w:cs="Arial"/>
              <w:sz w:val="12"/>
            </w:rPr>
          </w:pPr>
        </w:p>
        <w:p w:rsidR="007D06DE" w:rsidRDefault="007D06DE" w:rsidP="007A5DCE">
          <w:pPr>
            <w:rPr>
              <w:rFonts w:ascii="Arial" w:hAnsi="Arial" w:cs="Arial"/>
              <w:sz w:val="12"/>
            </w:rPr>
          </w:pPr>
        </w:p>
        <w:p w:rsidR="007D06DE" w:rsidRDefault="007D06DE" w:rsidP="007A5DCE">
          <w:pPr>
            <w:rPr>
              <w:rFonts w:ascii="Arial" w:hAnsi="Arial" w:cs="Arial"/>
              <w:sz w:val="12"/>
            </w:rPr>
          </w:pPr>
        </w:p>
        <w:p w:rsidR="007D06DE" w:rsidRDefault="007D06DE" w:rsidP="007A5DCE">
          <w:pPr>
            <w:rPr>
              <w:rFonts w:ascii="Arial" w:hAnsi="Arial" w:cs="Arial"/>
              <w:sz w:val="12"/>
            </w:rPr>
          </w:pPr>
        </w:p>
        <w:p w:rsidR="007D06DE" w:rsidRDefault="007D06DE" w:rsidP="007A5DCE">
          <w:pPr>
            <w:rPr>
              <w:rFonts w:ascii="Arial" w:hAnsi="Arial" w:cs="Arial"/>
              <w:sz w:val="12"/>
            </w:rPr>
          </w:pPr>
        </w:p>
        <w:p w:rsidR="007D06DE" w:rsidRDefault="00D411D6" w:rsidP="007A5DCE">
          <w:pPr>
            <w:jc w:val="center"/>
            <w:rPr>
              <w:rFonts w:ascii="Arial" w:hAnsi="Arial" w:cs="Arial"/>
              <w:sz w:val="12"/>
            </w:rPr>
          </w:pPr>
          <w:r>
            <w:rPr>
              <w:rFonts w:ascii="Arial" w:hAnsi="Arial" w:cs="Arial"/>
              <w:noProof/>
              <w:sz w:val="12"/>
              <w:lang w:val="es-MX" w:eastAsia="ja-JP"/>
            </w:rPr>
            <w:drawing>
              <wp:anchor distT="0" distB="0" distL="114300" distR="114300" simplePos="0" relativeHeight="251660800" behindDoc="0" locked="0" layoutInCell="1" allowOverlap="1" wp14:anchorId="26887E37" wp14:editId="5D5ED1FB">
                <wp:simplePos x="0" y="0"/>
                <wp:positionH relativeFrom="column">
                  <wp:posOffset>426085</wp:posOffset>
                </wp:positionH>
                <wp:positionV relativeFrom="paragraph">
                  <wp:posOffset>-524510</wp:posOffset>
                </wp:positionV>
                <wp:extent cx="464820" cy="463550"/>
                <wp:effectExtent l="19050" t="0" r="0" b="0"/>
                <wp:wrapSquare wrapText="bothSides"/>
                <wp:docPr id="2"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sidR="00895C0B">
            <w:rPr>
              <w:rFonts w:ascii="Arial" w:hAnsi="Arial" w:cs="Arial"/>
              <w:sz w:val="12"/>
            </w:rPr>
            <w:t xml:space="preserve">Comité de Ética </w:t>
          </w:r>
          <w:r w:rsidR="000D3DD8">
            <w:rPr>
              <w:rFonts w:ascii="Arial" w:hAnsi="Arial" w:cs="Arial"/>
              <w:sz w:val="12"/>
            </w:rPr>
            <w:t>en Investigación</w:t>
          </w:r>
          <w:r w:rsidR="007D06DE" w:rsidRPr="00803517">
            <w:rPr>
              <w:rFonts w:ascii="Arial" w:hAnsi="Arial" w:cs="Arial"/>
              <w:sz w:val="12"/>
            </w:rPr>
            <w:t>,</w:t>
          </w:r>
        </w:p>
        <w:p w:rsidR="007D06DE" w:rsidRPr="00DB53D2" w:rsidRDefault="006F6B4E" w:rsidP="007A5DCE">
          <w:pPr>
            <w:jc w:val="center"/>
            <w:rPr>
              <w:sz w:val="10"/>
            </w:rPr>
          </w:pPr>
          <w:r>
            <w:rPr>
              <w:rFonts w:ascii="Arial" w:hAnsi="Arial" w:cs="Arial"/>
              <w:sz w:val="12"/>
            </w:rPr>
            <w:t>Hospital Universitario “Dr. José Eleuterio González”</w:t>
          </w:r>
        </w:p>
      </w:tc>
      <w:tc>
        <w:tcPr>
          <w:tcW w:w="3804" w:type="pct"/>
          <w:gridSpan w:val="4"/>
        </w:tcPr>
        <w:p w:rsidR="007D06DE" w:rsidRDefault="007D06DE" w:rsidP="007A5DCE">
          <w:pPr>
            <w:jc w:val="center"/>
          </w:pPr>
          <w:r>
            <w:rPr>
              <w:rFonts w:ascii="Arial" w:hAnsi="Arial" w:cs="Arial"/>
              <w:b/>
              <w:caps/>
              <w:lang w:val="es-MX"/>
            </w:rPr>
            <w:t>SOP: DECLARACIÓN DE AUTORIDAD Y PROPÓSITO</w:t>
          </w:r>
        </w:p>
      </w:tc>
    </w:tr>
    <w:tr w:rsidR="007D06DE" w:rsidTr="007A5DCE">
      <w:trPr>
        <w:trHeight w:val="343"/>
      </w:trPr>
      <w:tc>
        <w:tcPr>
          <w:tcW w:w="1196" w:type="pct"/>
          <w:vMerge/>
        </w:tcPr>
        <w:p w:rsidR="007D06DE" w:rsidRDefault="007D06DE" w:rsidP="007A5DCE"/>
      </w:tc>
      <w:tc>
        <w:tcPr>
          <w:tcW w:w="643" w:type="pct"/>
        </w:tcPr>
        <w:p w:rsidR="007D06DE" w:rsidRPr="00803517" w:rsidRDefault="007D06DE" w:rsidP="007A5DCE">
          <w:pPr>
            <w:jc w:val="center"/>
            <w:rPr>
              <w:rFonts w:ascii="Arial" w:hAnsi="Arial" w:cs="Arial"/>
              <w:sz w:val="16"/>
            </w:rPr>
          </w:pPr>
          <w:r w:rsidRPr="00803517">
            <w:rPr>
              <w:rFonts w:ascii="Arial" w:hAnsi="Arial" w:cs="Arial"/>
              <w:sz w:val="16"/>
            </w:rPr>
            <w:t>N</w:t>
          </w:r>
          <w:r>
            <w:rPr>
              <w:rFonts w:ascii="Arial" w:hAnsi="Arial" w:cs="Arial"/>
              <w:sz w:val="16"/>
            </w:rPr>
            <w:t>ú</w:t>
          </w:r>
          <w:r w:rsidRPr="00803517">
            <w:rPr>
              <w:rFonts w:ascii="Arial" w:hAnsi="Arial" w:cs="Arial"/>
              <w:sz w:val="16"/>
            </w:rPr>
            <w:t>mero</w:t>
          </w:r>
        </w:p>
      </w:tc>
      <w:tc>
        <w:tcPr>
          <w:tcW w:w="785" w:type="pct"/>
        </w:tcPr>
        <w:p w:rsidR="007D06DE" w:rsidRPr="00803517" w:rsidRDefault="007D06DE" w:rsidP="007A5DCE">
          <w:pPr>
            <w:jc w:val="center"/>
            <w:rPr>
              <w:rFonts w:ascii="Arial" w:hAnsi="Arial" w:cs="Arial"/>
              <w:sz w:val="16"/>
            </w:rPr>
          </w:pPr>
          <w:r w:rsidRPr="00803517">
            <w:rPr>
              <w:rFonts w:ascii="Arial" w:hAnsi="Arial" w:cs="Arial"/>
              <w:sz w:val="16"/>
            </w:rPr>
            <w:t>Fecha</w:t>
          </w:r>
        </w:p>
      </w:tc>
      <w:tc>
        <w:tcPr>
          <w:tcW w:w="1113" w:type="pct"/>
        </w:tcPr>
        <w:p w:rsidR="007D06DE" w:rsidRPr="00803517" w:rsidRDefault="007D06DE" w:rsidP="007A5DCE">
          <w:pPr>
            <w:jc w:val="center"/>
            <w:rPr>
              <w:rFonts w:ascii="Arial" w:hAnsi="Arial" w:cs="Arial"/>
              <w:sz w:val="16"/>
            </w:rPr>
          </w:pPr>
          <w:r w:rsidRPr="00803517">
            <w:rPr>
              <w:rFonts w:ascii="Arial" w:hAnsi="Arial" w:cs="Arial"/>
              <w:sz w:val="16"/>
            </w:rPr>
            <w:t>Autor</w:t>
          </w:r>
        </w:p>
      </w:tc>
      <w:tc>
        <w:tcPr>
          <w:tcW w:w="1262" w:type="pct"/>
        </w:tcPr>
        <w:p w:rsidR="007D06DE" w:rsidRPr="00803517" w:rsidRDefault="007D06DE" w:rsidP="007A5DCE">
          <w:pPr>
            <w:jc w:val="center"/>
            <w:rPr>
              <w:rFonts w:ascii="Arial" w:hAnsi="Arial" w:cs="Arial"/>
              <w:sz w:val="16"/>
            </w:rPr>
          </w:pPr>
          <w:r w:rsidRPr="00803517">
            <w:rPr>
              <w:rFonts w:ascii="Arial" w:hAnsi="Arial" w:cs="Arial"/>
              <w:sz w:val="16"/>
            </w:rPr>
            <w:t>Aprobado por</w:t>
          </w:r>
        </w:p>
      </w:tc>
    </w:tr>
    <w:tr w:rsidR="007D06DE" w:rsidTr="007A5DCE">
      <w:trPr>
        <w:trHeight w:val="544"/>
      </w:trPr>
      <w:tc>
        <w:tcPr>
          <w:tcW w:w="1196" w:type="pct"/>
          <w:vMerge/>
        </w:tcPr>
        <w:p w:rsidR="007D06DE" w:rsidRDefault="007D06DE" w:rsidP="007A5DCE"/>
      </w:tc>
      <w:tc>
        <w:tcPr>
          <w:tcW w:w="643" w:type="pct"/>
        </w:tcPr>
        <w:p w:rsidR="007D06DE" w:rsidRDefault="007D06DE" w:rsidP="007A5DCE">
          <w:pPr>
            <w:jc w:val="center"/>
            <w:rPr>
              <w:rFonts w:ascii="Arial" w:hAnsi="Arial" w:cs="Arial"/>
              <w:sz w:val="20"/>
              <w:szCs w:val="20"/>
            </w:rPr>
          </w:pPr>
          <w:r>
            <w:rPr>
              <w:rFonts w:ascii="Arial" w:hAnsi="Arial" w:cs="Arial"/>
              <w:sz w:val="20"/>
              <w:szCs w:val="20"/>
            </w:rPr>
            <w:t>GA-100</w:t>
          </w:r>
        </w:p>
        <w:p w:rsidR="007D06DE" w:rsidRPr="00803517" w:rsidRDefault="007D06DE" w:rsidP="00D411D6">
          <w:pPr>
            <w:jc w:val="center"/>
            <w:rPr>
              <w:rFonts w:ascii="Arial" w:hAnsi="Arial" w:cs="Arial"/>
              <w:sz w:val="20"/>
              <w:szCs w:val="20"/>
            </w:rPr>
          </w:pPr>
          <w:r>
            <w:rPr>
              <w:rFonts w:ascii="Arial" w:hAnsi="Arial" w:cs="Arial"/>
              <w:sz w:val="20"/>
              <w:szCs w:val="20"/>
            </w:rPr>
            <w:t xml:space="preserve">Ver </w:t>
          </w:r>
          <w:r w:rsidR="006F6B4E">
            <w:rPr>
              <w:rFonts w:ascii="Arial" w:hAnsi="Arial" w:cs="Arial"/>
              <w:sz w:val="20"/>
              <w:szCs w:val="20"/>
            </w:rPr>
            <w:t>0</w:t>
          </w:r>
          <w:r w:rsidR="00D20DCE">
            <w:rPr>
              <w:rFonts w:ascii="Arial" w:hAnsi="Arial" w:cs="Arial"/>
              <w:sz w:val="20"/>
              <w:szCs w:val="20"/>
            </w:rPr>
            <w:t>5</w:t>
          </w:r>
        </w:p>
      </w:tc>
      <w:tc>
        <w:tcPr>
          <w:tcW w:w="785" w:type="pct"/>
        </w:tcPr>
        <w:p w:rsidR="007D06DE" w:rsidRPr="003B3A66" w:rsidRDefault="00D20DCE" w:rsidP="007A5DCE">
          <w:pPr>
            <w:jc w:val="center"/>
            <w:rPr>
              <w:rFonts w:ascii="Arial" w:hAnsi="Arial" w:cs="Arial"/>
              <w:sz w:val="20"/>
              <w:szCs w:val="20"/>
            </w:rPr>
          </w:pPr>
          <w:r>
            <w:rPr>
              <w:rFonts w:ascii="Arial" w:hAnsi="Arial" w:cs="Arial"/>
              <w:sz w:val="20"/>
              <w:szCs w:val="20"/>
            </w:rPr>
            <w:t>Septiembre 2022</w:t>
          </w:r>
        </w:p>
      </w:tc>
      <w:tc>
        <w:tcPr>
          <w:tcW w:w="1113" w:type="pct"/>
        </w:tcPr>
        <w:p w:rsidR="007D06DE" w:rsidRPr="00803517" w:rsidRDefault="007D06DE" w:rsidP="007A5DCE">
          <w:pPr>
            <w:rPr>
              <w:rFonts w:ascii="Arial" w:hAnsi="Arial" w:cs="Arial"/>
              <w:sz w:val="20"/>
              <w:szCs w:val="20"/>
            </w:rPr>
          </w:pPr>
          <w:r>
            <w:rPr>
              <w:rFonts w:ascii="Arial" w:hAnsi="Arial" w:cs="Arial"/>
              <w:sz w:val="20"/>
              <w:szCs w:val="20"/>
            </w:rPr>
            <w:t>I.</w:t>
          </w:r>
          <w:r w:rsidR="006662FB">
            <w:rPr>
              <w:rFonts w:ascii="Arial" w:hAnsi="Arial" w:cs="Arial"/>
              <w:sz w:val="20"/>
              <w:szCs w:val="20"/>
            </w:rPr>
            <w:t xml:space="preserve"> </w:t>
          </w:r>
          <w:r>
            <w:rPr>
              <w:rFonts w:ascii="Arial" w:hAnsi="Arial" w:cs="Arial"/>
              <w:sz w:val="20"/>
              <w:szCs w:val="20"/>
            </w:rPr>
            <w:t>H</w:t>
          </w:r>
          <w:r w:rsidR="00676065">
            <w:rPr>
              <w:rFonts w:ascii="Arial" w:hAnsi="Arial" w:cs="Arial"/>
              <w:sz w:val="20"/>
              <w:szCs w:val="20"/>
            </w:rPr>
            <w:t>e</w:t>
          </w:r>
          <w:r>
            <w:rPr>
              <w:rFonts w:ascii="Arial" w:hAnsi="Arial" w:cs="Arial"/>
              <w:sz w:val="20"/>
              <w:szCs w:val="20"/>
            </w:rPr>
            <w:t>rn</w:t>
          </w:r>
          <w:r w:rsidR="00676065">
            <w:rPr>
              <w:rFonts w:ascii="Arial" w:hAnsi="Arial" w:cs="Arial"/>
              <w:sz w:val="20"/>
              <w:szCs w:val="20"/>
            </w:rPr>
            <w:t>á</w:t>
          </w:r>
          <w:r>
            <w:rPr>
              <w:rFonts w:ascii="Arial" w:hAnsi="Arial" w:cs="Arial"/>
              <w:sz w:val="20"/>
              <w:szCs w:val="20"/>
            </w:rPr>
            <w:t>ndez, V.</w:t>
          </w:r>
          <w:r w:rsidR="006662FB">
            <w:rPr>
              <w:rFonts w:ascii="Arial" w:hAnsi="Arial" w:cs="Arial"/>
              <w:sz w:val="20"/>
              <w:szCs w:val="20"/>
            </w:rPr>
            <w:t xml:space="preserve"> </w:t>
          </w:r>
          <w:r>
            <w:rPr>
              <w:rFonts w:ascii="Arial" w:hAnsi="Arial" w:cs="Arial"/>
              <w:sz w:val="20"/>
              <w:szCs w:val="20"/>
            </w:rPr>
            <w:t>Gómez, J. Garza</w:t>
          </w:r>
          <w:r w:rsidR="006F6B4E">
            <w:rPr>
              <w:rFonts w:ascii="Arial" w:hAnsi="Arial" w:cs="Arial"/>
              <w:sz w:val="20"/>
              <w:szCs w:val="20"/>
            </w:rPr>
            <w:t>, A. Carlos</w:t>
          </w:r>
          <w:r w:rsidR="00341F5A">
            <w:rPr>
              <w:rFonts w:ascii="Arial" w:hAnsi="Arial" w:cs="Arial"/>
              <w:sz w:val="20"/>
              <w:szCs w:val="20"/>
            </w:rPr>
            <w:t>, E. Cantú</w:t>
          </w:r>
        </w:p>
      </w:tc>
      <w:tc>
        <w:tcPr>
          <w:tcW w:w="1262" w:type="pct"/>
        </w:tcPr>
        <w:p w:rsidR="007D06DE" w:rsidRPr="00803517" w:rsidRDefault="00D20DCE" w:rsidP="007A5DCE">
          <w:pPr>
            <w:jc w:val="center"/>
            <w:rPr>
              <w:rFonts w:ascii="Arial" w:hAnsi="Arial" w:cs="Arial"/>
              <w:sz w:val="20"/>
              <w:szCs w:val="20"/>
            </w:rPr>
          </w:pPr>
          <w:r>
            <w:rPr>
              <w:rFonts w:ascii="Arial" w:hAnsi="Arial" w:cs="Arial"/>
              <w:sz w:val="20"/>
              <w:szCs w:val="20"/>
            </w:rPr>
            <w:t>A. Camacho</w:t>
          </w:r>
        </w:p>
      </w:tc>
    </w:tr>
  </w:tbl>
  <w:p w:rsidR="007D06DE" w:rsidRDefault="007D06DE">
    <w:pPr>
      <w:pStyle w:val="Encabezado"/>
    </w:pPr>
  </w:p>
  <w:p w:rsidR="007D06DE" w:rsidRDefault="007D0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01C"/>
    <w:multiLevelType w:val="hybridMultilevel"/>
    <w:tmpl w:val="F176BA62"/>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180C387A"/>
    <w:multiLevelType w:val="hybridMultilevel"/>
    <w:tmpl w:val="2C2AD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2221C2"/>
    <w:multiLevelType w:val="hybridMultilevel"/>
    <w:tmpl w:val="B0C02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6F33DC"/>
    <w:multiLevelType w:val="hybridMultilevel"/>
    <w:tmpl w:val="589A70B4"/>
    <w:lvl w:ilvl="0" w:tplc="8A963F7E">
      <w:start w:val="1"/>
      <w:numFmt w:val="bullet"/>
      <w:lvlText w:val=""/>
      <w:lvlJc w:val="left"/>
      <w:pPr>
        <w:tabs>
          <w:tab w:val="num" w:pos="720"/>
        </w:tabs>
        <w:ind w:left="720" w:hanging="360"/>
      </w:pPr>
      <w:rPr>
        <w:rFonts w:ascii="Wingdings" w:hAnsi="Wingdings" w:hint="default"/>
        <w:color w:val="80800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942C93"/>
    <w:multiLevelType w:val="hybridMultilevel"/>
    <w:tmpl w:val="7C16F1A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D592125"/>
    <w:multiLevelType w:val="hybridMultilevel"/>
    <w:tmpl w:val="E8B87D28"/>
    <w:lvl w:ilvl="0" w:tplc="F8101900">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5972EF6"/>
    <w:multiLevelType w:val="hybridMultilevel"/>
    <w:tmpl w:val="8E8037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BC25174"/>
    <w:multiLevelType w:val="hybridMultilevel"/>
    <w:tmpl w:val="29AE3D4A"/>
    <w:lvl w:ilvl="0" w:tplc="B73E55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410D7B"/>
    <w:multiLevelType w:val="hybridMultilevel"/>
    <w:tmpl w:val="A96C397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nsid w:val="7B13508F"/>
    <w:multiLevelType w:val="hybridMultilevel"/>
    <w:tmpl w:val="65DC27FE"/>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080A0001">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6"/>
  </w:num>
  <w:num w:numId="8">
    <w:abstractNumId w:val="2"/>
  </w:num>
  <w:num w:numId="9">
    <w:abstractNumId w:val="9"/>
  </w:num>
  <w:num w:numId="10">
    <w:abstractNumId w:val="3"/>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03905"/>
    <w:rsid w:val="00061F12"/>
    <w:rsid w:val="00066ED0"/>
    <w:rsid w:val="0009114A"/>
    <w:rsid w:val="000A2625"/>
    <w:rsid w:val="000C17A5"/>
    <w:rsid w:val="000D3DD8"/>
    <w:rsid w:val="000E1AE4"/>
    <w:rsid w:val="00160AFA"/>
    <w:rsid w:val="001871D2"/>
    <w:rsid w:val="001B213D"/>
    <w:rsid w:val="001C68D3"/>
    <w:rsid w:val="001E1D18"/>
    <w:rsid w:val="001E67B9"/>
    <w:rsid w:val="00256C02"/>
    <w:rsid w:val="00277A26"/>
    <w:rsid w:val="002826F0"/>
    <w:rsid w:val="002D6A2D"/>
    <w:rsid w:val="002E2FEC"/>
    <w:rsid w:val="003361E6"/>
    <w:rsid w:val="00341F5A"/>
    <w:rsid w:val="0037647B"/>
    <w:rsid w:val="00394A31"/>
    <w:rsid w:val="003B3A66"/>
    <w:rsid w:val="003B761F"/>
    <w:rsid w:val="003C4567"/>
    <w:rsid w:val="003C4B14"/>
    <w:rsid w:val="003C6C9E"/>
    <w:rsid w:val="003D3DE3"/>
    <w:rsid w:val="003E61F9"/>
    <w:rsid w:val="003F3D5E"/>
    <w:rsid w:val="004B18FB"/>
    <w:rsid w:val="004E424B"/>
    <w:rsid w:val="00514029"/>
    <w:rsid w:val="00522CB6"/>
    <w:rsid w:val="0052671F"/>
    <w:rsid w:val="00530951"/>
    <w:rsid w:val="0053703C"/>
    <w:rsid w:val="005818B7"/>
    <w:rsid w:val="005A0CB4"/>
    <w:rsid w:val="005F1682"/>
    <w:rsid w:val="006218BA"/>
    <w:rsid w:val="006401B4"/>
    <w:rsid w:val="00643DCB"/>
    <w:rsid w:val="00663511"/>
    <w:rsid w:val="006662FB"/>
    <w:rsid w:val="00676065"/>
    <w:rsid w:val="00684129"/>
    <w:rsid w:val="006C674E"/>
    <w:rsid w:val="006E260F"/>
    <w:rsid w:val="006F6B4E"/>
    <w:rsid w:val="00723AC9"/>
    <w:rsid w:val="007338DF"/>
    <w:rsid w:val="007557DC"/>
    <w:rsid w:val="007703F1"/>
    <w:rsid w:val="007A5DCE"/>
    <w:rsid w:val="007C3E91"/>
    <w:rsid w:val="007D06DE"/>
    <w:rsid w:val="007D630D"/>
    <w:rsid w:val="007F4204"/>
    <w:rsid w:val="008012FC"/>
    <w:rsid w:val="0080196B"/>
    <w:rsid w:val="00803517"/>
    <w:rsid w:val="008129A4"/>
    <w:rsid w:val="00830631"/>
    <w:rsid w:val="0083383B"/>
    <w:rsid w:val="00842333"/>
    <w:rsid w:val="00894C3C"/>
    <w:rsid w:val="00895C0B"/>
    <w:rsid w:val="008A1BE2"/>
    <w:rsid w:val="008D4414"/>
    <w:rsid w:val="008D4434"/>
    <w:rsid w:val="008E7D12"/>
    <w:rsid w:val="00942695"/>
    <w:rsid w:val="00943891"/>
    <w:rsid w:val="009F4099"/>
    <w:rsid w:val="00A21B21"/>
    <w:rsid w:val="00A22C5F"/>
    <w:rsid w:val="00AA3729"/>
    <w:rsid w:val="00AB4A19"/>
    <w:rsid w:val="00AF4A04"/>
    <w:rsid w:val="00AF5E88"/>
    <w:rsid w:val="00B05E01"/>
    <w:rsid w:val="00B47F41"/>
    <w:rsid w:val="00C1535C"/>
    <w:rsid w:val="00C21D3D"/>
    <w:rsid w:val="00C32E85"/>
    <w:rsid w:val="00C342B0"/>
    <w:rsid w:val="00C34F96"/>
    <w:rsid w:val="00C51C23"/>
    <w:rsid w:val="00C63C3C"/>
    <w:rsid w:val="00C77746"/>
    <w:rsid w:val="00C93DC8"/>
    <w:rsid w:val="00C93ECB"/>
    <w:rsid w:val="00CB37E8"/>
    <w:rsid w:val="00CD1278"/>
    <w:rsid w:val="00CF388B"/>
    <w:rsid w:val="00CF649C"/>
    <w:rsid w:val="00D20DCE"/>
    <w:rsid w:val="00D411D6"/>
    <w:rsid w:val="00D4334E"/>
    <w:rsid w:val="00D61B39"/>
    <w:rsid w:val="00DB3FD2"/>
    <w:rsid w:val="00DB53D2"/>
    <w:rsid w:val="00DC3C21"/>
    <w:rsid w:val="00E10077"/>
    <w:rsid w:val="00E237A1"/>
    <w:rsid w:val="00E434E3"/>
    <w:rsid w:val="00E44412"/>
    <w:rsid w:val="00E656DC"/>
    <w:rsid w:val="00E81964"/>
    <w:rsid w:val="00E90EEF"/>
    <w:rsid w:val="00E927FA"/>
    <w:rsid w:val="00ED3D8E"/>
    <w:rsid w:val="00F11BB4"/>
    <w:rsid w:val="00F21FAA"/>
    <w:rsid w:val="00F24303"/>
    <w:rsid w:val="00F367A2"/>
    <w:rsid w:val="00FA7507"/>
    <w:rsid w:val="00FD446A"/>
    <w:rsid w:val="00FD6F6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iPriority w:val="99"/>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longtext">
    <w:name w:val="long_text"/>
    <w:basedOn w:val="Fuentedeprrafopredeter"/>
    <w:rsid w:val="009F4099"/>
  </w:style>
  <w:style w:type="character" w:styleId="Hipervnculovisitado">
    <w:name w:val="FollowedHyperlink"/>
    <w:basedOn w:val="Fuentedeprrafopredeter"/>
    <w:uiPriority w:val="99"/>
    <w:semiHidden/>
    <w:unhideWhenUsed/>
    <w:rsid w:val="005267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iPriority w:val="99"/>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longtext">
    <w:name w:val="long_text"/>
    <w:basedOn w:val="Fuentedeprrafopredeter"/>
    <w:rsid w:val="009F4099"/>
  </w:style>
  <w:style w:type="character" w:styleId="Hipervnculovisitado">
    <w:name w:val="FollowedHyperlink"/>
    <w:basedOn w:val="Fuentedeprrafopredeter"/>
    <w:uiPriority w:val="99"/>
    <w:semiHidden/>
    <w:unhideWhenUsed/>
    <w:rsid w:val="005267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dicina.uanl.mx/investig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56F0-3904-499A-A817-27101CB3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3003</Words>
  <Characters>16521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4</cp:revision>
  <cp:lastPrinted>2011-08-12T19:30:00Z</cp:lastPrinted>
  <dcterms:created xsi:type="dcterms:W3CDTF">2022-09-29T17:17:00Z</dcterms:created>
  <dcterms:modified xsi:type="dcterms:W3CDTF">2023-08-09T14:28:00Z</dcterms:modified>
</cp:coreProperties>
</file>