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7648EC">
      <w:pPr>
        <w:contextualSpacing/>
        <w:jc w:val="both"/>
      </w:pPr>
    </w:p>
    <w:p w:rsidR="00F11BB4" w:rsidRDefault="00803517" w:rsidP="007648EC">
      <w:pPr>
        <w:contextualSpacing/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I. PROPÓSITO</w:t>
      </w:r>
    </w:p>
    <w:p w:rsidR="007648EC" w:rsidRPr="00803517" w:rsidRDefault="007648EC" w:rsidP="007648EC">
      <w:pPr>
        <w:contextualSpacing/>
        <w:jc w:val="both"/>
        <w:rPr>
          <w:rFonts w:ascii="Arial" w:hAnsi="Arial" w:cs="Arial"/>
          <w:b/>
        </w:rPr>
      </w:pPr>
    </w:p>
    <w:p w:rsidR="00C13F93" w:rsidRDefault="00803517" w:rsidP="007648EC">
      <w:pPr>
        <w:ind w:firstLine="708"/>
        <w:contextualSpacing/>
        <w:jc w:val="both"/>
        <w:rPr>
          <w:rFonts w:ascii="Arial" w:hAnsi="Arial" w:cs="Arial"/>
          <w:lang w:val="es-MX"/>
        </w:rPr>
      </w:pPr>
      <w:r w:rsidRPr="00803517">
        <w:rPr>
          <w:rFonts w:ascii="Arial" w:hAnsi="Arial" w:cs="Arial"/>
        </w:rPr>
        <w:t>I.1.</w:t>
      </w:r>
      <w:r w:rsidR="00BE78AA">
        <w:rPr>
          <w:rFonts w:ascii="Arial" w:hAnsi="Arial" w:cs="Arial"/>
        </w:rPr>
        <w:t xml:space="preserve">Describir </w:t>
      </w:r>
      <w:r w:rsidR="00BD2401">
        <w:rPr>
          <w:rFonts w:ascii="Arial" w:hAnsi="Arial" w:cs="Arial"/>
        </w:rPr>
        <w:t xml:space="preserve">el </w:t>
      </w:r>
      <w:r w:rsidR="00BE78AA">
        <w:rPr>
          <w:rFonts w:ascii="Arial" w:hAnsi="Arial" w:cs="Arial"/>
        </w:rPr>
        <w:t xml:space="preserve">proceso mediante el cual el </w:t>
      </w:r>
      <w:r w:rsidR="00D66B2D">
        <w:rPr>
          <w:rFonts w:ascii="Arial" w:hAnsi="Arial" w:cs="Arial"/>
        </w:rPr>
        <w:t>CEI</w:t>
      </w:r>
      <w:r w:rsidR="00BE78AA">
        <w:rPr>
          <w:rFonts w:ascii="Arial" w:hAnsi="Arial" w:cs="Arial"/>
        </w:rPr>
        <w:t xml:space="preserve"> se asegura </w:t>
      </w:r>
      <w:r w:rsidR="00BD2401">
        <w:rPr>
          <w:rFonts w:ascii="Arial" w:hAnsi="Arial" w:cs="Arial"/>
        </w:rPr>
        <w:t xml:space="preserve">de </w:t>
      </w:r>
      <w:r w:rsidR="00BE78AA">
        <w:rPr>
          <w:rFonts w:ascii="Arial" w:hAnsi="Arial" w:cs="Arial"/>
        </w:rPr>
        <w:t>la separación de los intereses de negocios de los principios éticos que rigen al Comité</w:t>
      </w:r>
      <w:r w:rsidR="00D66B2D">
        <w:rPr>
          <w:rFonts w:ascii="Arial" w:hAnsi="Arial" w:cs="Arial"/>
        </w:rPr>
        <w:t>.</w:t>
      </w:r>
    </w:p>
    <w:p w:rsidR="00803517" w:rsidRPr="00803517" w:rsidRDefault="00803517" w:rsidP="007648EC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7648EC">
      <w:pPr>
        <w:contextualSpacing/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7648EC" w:rsidRDefault="007648EC" w:rsidP="007648EC">
      <w:pPr>
        <w:contextualSpacing/>
        <w:jc w:val="both"/>
        <w:rPr>
          <w:rFonts w:ascii="Arial" w:hAnsi="Arial" w:cs="Arial"/>
          <w:b/>
        </w:rPr>
      </w:pPr>
    </w:p>
    <w:p w:rsidR="00803517" w:rsidRPr="008A1BE2" w:rsidRDefault="00707491" w:rsidP="007648EC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803517" w:rsidRDefault="00803517" w:rsidP="007648EC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7648EC">
      <w:pPr>
        <w:contextualSpacing/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III. POLÍTICAS</w:t>
      </w:r>
    </w:p>
    <w:p w:rsidR="005E10C3" w:rsidRPr="00803517" w:rsidRDefault="005E10C3" w:rsidP="007648EC">
      <w:pPr>
        <w:contextualSpacing/>
        <w:jc w:val="both"/>
        <w:rPr>
          <w:rFonts w:ascii="Arial" w:hAnsi="Arial" w:cs="Arial"/>
          <w:b/>
        </w:rPr>
      </w:pPr>
    </w:p>
    <w:p w:rsidR="00DD6A74" w:rsidRDefault="00F20A17" w:rsidP="007648EC">
      <w:pPr>
        <w:pStyle w:val="level1bodystyle"/>
        <w:contextualSpacing/>
        <w:jc w:val="both"/>
        <w:rPr>
          <w:lang w:val="es-ES"/>
        </w:rPr>
      </w:pPr>
      <w:r>
        <w:rPr>
          <w:lang w:val="es-ES"/>
        </w:rPr>
        <w:t xml:space="preserve">Es política de nuestra </w:t>
      </w:r>
      <w:r w:rsidR="00BD2401">
        <w:rPr>
          <w:lang w:val="es-ES"/>
        </w:rPr>
        <w:t>o</w:t>
      </w:r>
      <w:r>
        <w:rPr>
          <w:lang w:val="es-ES"/>
        </w:rPr>
        <w:t xml:space="preserve">rganización identificar y separar posibles conflictos de </w:t>
      </w:r>
      <w:r w:rsidR="00215361">
        <w:rPr>
          <w:lang w:val="es-ES"/>
        </w:rPr>
        <w:t xml:space="preserve">intereses de </w:t>
      </w:r>
      <w:r w:rsidR="00B37434" w:rsidRPr="00B37434">
        <w:rPr>
          <w:lang w:val="es-MX"/>
        </w:rPr>
        <w:t>negoci</w:t>
      </w:r>
      <w:r w:rsidR="00BD2401">
        <w:rPr>
          <w:lang w:val="es-MX"/>
        </w:rPr>
        <w:t>os</w:t>
      </w:r>
      <w:r w:rsidR="00B37434" w:rsidRPr="00B37434">
        <w:rPr>
          <w:lang w:val="es-MX"/>
        </w:rPr>
        <w:t xml:space="preserve"> </w:t>
      </w:r>
      <w:r>
        <w:rPr>
          <w:lang w:val="es-ES"/>
        </w:rPr>
        <w:t>con los princip</w:t>
      </w:r>
      <w:r w:rsidR="00BD584C">
        <w:rPr>
          <w:lang w:val="es-ES"/>
        </w:rPr>
        <w:t>ios éticos que rigen la conducta</w:t>
      </w:r>
      <w:r>
        <w:rPr>
          <w:lang w:val="es-ES"/>
        </w:rPr>
        <w:t xml:space="preserve"> de nuestro Comité</w:t>
      </w:r>
      <w:r w:rsidR="00D542E5">
        <w:rPr>
          <w:lang w:val="es-ES"/>
        </w:rPr>
        <w:t xml:space="preserve"> y </w:t>
      </w:r>
      <w:r w:rsidR="00BD584C">
        <w:rPr>
          <w:lang w:val="es-ES"/>
        </w:rPr>
        <w:t xml:space="preserve">el personal que integra nuestro </w:t>
      </w:r>
      <w:r w:rsidR="00BD2401">
        <w:rPr>
          <w:lang w:val="es-ES"/>
        </w:rPr>
        <w:t>P</w:t>
      </w:r>
      <w:r w:rsidR="00BD584C">
        <w:rPr>
          <w:lang w:val="es-ES"/>
        </w:rPr>
        <w:t xml:space="preserve">rograma de Protección de Sujetos </w:t>
      </w:r>
      <w:r w:rsidR="00BD2401">
        <w:rPr>
          <w:lang w:val="es-ES"/>
        </w:rPr>
        <w:t>de</w:t>
      </w:r>
      <w:r w:rsidR="00BD584C">
        <w:rPr>
          <w:lang w:val="es-ES"/>
        </w:rPr>
        <w:t xml:space="preserve"> Investigación (</w:t>
      </w:r>
      <w:r w:rsidR="00707491">
        <w:rPr>
          <w:lang w:val="es-ES"/>
        </w:rPr>
        <w:t>PPSI</w:t>
      </w:r>
      <w:r w:rsidR="00BD584C">
        <w:rPr>
          <w:lang w:val="es-ES"/>
        </w:rPr>
        <w:t>)</w:t>
      </w:r>
      <w:r w:rsidR="00D542E5">
        <w:rPr>
          <w:lang w:val="es-ES"/>
        </w:rPr>
        <w:t>.</w:t>
      </w:r>
    </w:p>
    <w:p w:rsidR="009E2608" w:rsidRDefault="00F14708" w:rsidP="007648EC">
      <w:pPr>
        <w:pStyle w:val="level1bodystyle"/>
        <w:contextualSpacing/>
        <w:jc w:val="both"/>
        <w:rPr>
          <w:lang w:val="es-ES"/>
        </w:rPr>
      </w:pPr>
      <w:r>
        <w:rPr>
          <w:lang w:val="es-ES"/>
        </w:rPr>
        <w:t xml:space="preserve">Para esto, todos los miembros deben declarar cualquier </w:t>
      </w:r>
      <w:r w:rsidR="00215361">
        <w:rPr>
          <w:lang w:val="es-ES"/>
        </w:rPr>
        <w:t xml:space="preserve">interés de </w:t>
      </w:r>
      <w:r>
        <w:rPr>
          <w:lang w:val="es-ES"/>
        </w:rPr>
        <w:t xml:space="preserve">negocio relacionado con la industria </w:t>
      </w:r>
      <w:r w:rsidR="00215361">
        <w:rPr>
          <w:lang w:val="es-ES"/>
        </w:rPr>
        <w:t>farmacéutica</w:t>
      </w:r>
      <w:r w:rsidR="001E1EE3">
        <w:rPr>
          <w:lang w:val="es-ES"/>
        </w:rPr>
        <w:t xml:space="preserve"> y </w:t>
      </w:r>
      <w:r>
        <w:rPr>
          <w:lang w:val="es-ES"/>
        </w:rPr>
        <w:t>productos médicos</w:t>
      </w:r>
      <w:r w:rsidR="001E1EE3">
        <w:rPr>
          <w:lang w:val="es-ES"/>
        </w:rPr>
        <w:t>,</w:t>
      </w:r>
      <w:r>
        <w:rPr>
          <w:lang w:val="es-ES"/>
        </w:rPr>
        <w:t xml:space="preserve"> tanto biológicos como dispositivos.</w:t>
      </w:r>
    </w:p>
    <w:p w:rsidR="00F14708" w:rsidRDefault="00F14708" w:rsidP="007648EC">
      <w:pPr>
        <w:pStyle w:val="level1bodystyle"/>
        <w:contextualSpacing/>
        <w:jc w:val="both"/>
        <w:rPr>
          <w:lang w:val="es-ES"/>
        </w:rPr>
      </w:pPr>
      <w:r>
        <w:rPr>
          <w:lang w:val="es-ES"/>
        </w:rPr>
        <w:t xml:space="preserve">A pesar de que no se cuenta con regulaciones nacionales </w:t>
      </w:r>
      <w:r w:rsidR="00215361">
        <w:rPr>
          <w:lang w:val="es-ES"/>
        </w:rPr>
        <w:t>o</w:t>
      </w:r>
      <w:r>
        <w:rPr>
          <w:lang w:val="es-ES"/>
        </w:rPr>
        <w:t xml:space="preserve"> </w:t>
      </w:r>
      <w:r w:rsidR="00215361">
        <w:rPr>
          <w:lang w:val="es-ES"/>
        </w:rPr>
        <w:t>inter</w:t>
      </w:r>
      <w:r>
        <w:rPr>
          <w:lang w:val="es-ES"/>
        </w:rPr>
        <w:t xml:space="preserve">nacionales, es nuestra política que todos nuestros miembros no tengan relación </w:t>
      </w:r>
      <w:r w:rsidR="00215361">
        <w:rPr>
          <w:lang w:val="es-ES"/>
        </w:rPr>
        <w:t>co</w:t>
      </w:r>
      <w:r>
        <w:rPr>
          <w:lang w:val="es-ES"/>
        </w:rPr>
        <w:t xml:space="preserve">n la  </w:t>
      </w:r>
      <w:r w:rsidR="00215361">
        <w:rPr>
          <w:lang w:val="es-ES"/>
        </w:rPr>
        <w:t>i</w:t>
      </w:r>
      <w:r>
        <w:rPr>
          <w:lang w:val="es-ES"/>
        </w:rPr>
        <w:t>ndustria.</w:t>
      </w:r>
    </w:p>
    <w:p w:rsidR="007648EC" w:rsidRDefault="007648EC" w:rsidP="007648EC">
      <w:pPr>
        <w:pStyle w:val="level1bodystyle"/>
        <w:contextualSpacing/>
        <w:jc w:val="both"/>
        <w:rPr>
          <w:b/>
          <w:szCs w:val="24"/>
          <w:lang w:val="es-MX"/>
        </w:rPr>
      </w:pPr>
    </w:p>
    <w:p w:rsidR="007B202E" w:rsidRDefault="00B37434" w:rsidP="007648EC">
      <w:pPr>
        <w:pStyle w:val="level1bodystyle"/>
        <w:contextualSpacing/>
        <w:jc w:val="both"/>
        <w:rPr>
          <w:b/>
          <w:szCs w:val="24"/>
          <w:lang w:val="es-ES" w:eastAsia="es-ES"/>
        </w:rPr>
      </w:pPr>
      <w:r w:rsidRPr="00B37434">
        <w:rPr>
          <w:b/>
          <w:szCs w:val="24"/>
          <w:lang w:val="es-MX"/>
        </w:rPr>
        <w:t>IV</w:t>
      </w:r>
      <w:r w:rsidRPr="00B37434">
        <w:rPr>
          <w:b/>
          <w:szCs w:val="24"/>
          <w:lang w:val="es-ES" w:eastAsia="es-ES"/>
        </w:rPr>
        <w:t>.</w:t>
      </w:r>
      <w:r w:rsidR="007B202E">
        <w:rPr>
          <w:b/>
          <w:szCs w:val="24"/>
          <w:lang w:val="es-ES" w:eastAsia="es-ES"/>
        </w:rPr>
        <w:t xml:space="preserve"> </w:t>
      </w:r>
      <w:r w:rsidRPr="00B37434">
        <w:rPr>
          <w:b/>
          <w:szCs w:val="24"/>
          <w:lang w:val="es-MX"/>
        </w:rPr>
        <w:t>RESPONSABILIDADES</w:t>
      </w:r>
    </w:p>
    <w:p w:rsidR="00215361" w:rsidRDefault="00215361" w:rsidP="007648EC">
      <w:pPr>
        <w:pStyle w:val="level1bodystyle"/>
        <w:contextualSpacing/>
        <w:jc w:val="both"/>
        <w:rPr>
          <w:rStyle w:val="hps"/>
          <w:color w:val="222222"/>
          <w:szCs w:val="24"/>
          <w:lang w:val="es-ES"/>
        </w:rPr>
      </w:pPr>
      <w:r>
        <w:rPr>
          <w:color w:val="222222"/>
          <w:sz w:val="27"/>
          <w:szCs w:val="27"/>
          <w:lang w:val="es-ES"/>
        </w:rPr>
        <w:br/>
      </w:r>
      <w:r w:rsidR="00B37434" w:rsidRPr="00B37434">
        <w:rPr>
          <w:rStyle w:val="hps"/>
          <w:color w:val="222222"/>
          <w:szCs w:val="24"/>
          <w:lang w:val="es-ES"/>
        </w:rPr>
        <w:t>El Presidente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es responsable de comprobar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si los nuevos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miembros</w:t>
      </w:r>
      <w:r w:rsidR="001E1EE3">
        <w:rPr>
          <w:rStyle w:val="hps"/>
          <w:color w:val="222222"/>
          <w:szCs w:val="24"/>
          <w:lang w:val="es-ES"/>
        </w:rPr>
        <w:t>,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de cualquier nivel</w:t>
      </w:r>
      <w:r w:rsidR="001E1EE3">
        <w:rPr>
          <w:rStyle w:val="hps"/>
          <w:color w:val="222222"/>
          <w:szCs w:val="24"/>
          <w:lang w:val="es-ES"/>
        </w:rPr>
        <w:t>,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tienen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negocios relacionados con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el desarrollo de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nuev</w:t>
      </w:r>
      <w:r w:rsidR="001E1EE3">
        <w:rPr>
          <w:rStyle w:val="hps"/>
          <w:color w:val="222222"/>
          <w:szCs w:val="24"/>
          <w:lang w:val="es-ES"/>
        </w:rPr>
        <w:t>a</w:t>
      </w:r>
      <w:r w:rsidR="00B37434" w:rsidRPr="00B37434">
        <w:rPr>
          <w:rStyle w:val="hps"/>
          <w:color w:val="222222"/>
          <w:szCs w:val="24"/>
          <w:lang w:val="es-ES"/>
        </w:rPr>
        <w:t xml:space="preserve">s </w:t>
      </w:r>
      <w:r w:rsidR="007B202E">
        <w:rPr>
          <w:rStyle w:val="hps"/>
          <w:color w:val="222222"/>
          <w:szCs w:val="24"/>
          <w:lang w:val="es-ES"/>
        </w:rPr>
        <w:t>droga</w:t>
      </w:r>
      <w:r w:rsidR="00B37434" w:rsidRPr="00B37434">
        <w:rPr>
          <w:rStyle w:val="hps"/>
          <w:color w:val="222222"/>
          <w:szCs w:val="24"/>
          <w:lang w:val="es-ES"/>
        </w:rPr>
        <w:t>s</w:t>
      </w:r>
      <w:r w:rsidR="00B37434" w:rsidRPr="00B37434">
        <w:rPr>
          <w:color w:val="222222"/>
          <w:szCs w:val="24"/>
          <w:lang w:val="es-ES"/>
        </w:rPr>
        <w:t xml:space="preserve">, tanto </w:t>
      </w:r>
      <w:r w:rsidR="00B37434" w:rsidRPr="00B37434">
        <w:rPr>
          <w:rStyle w:val="hps"/>
          <w:color w:val="222222"/>
          <w:szCs w:val="24"/>
          <w:lang w:val="es-ES"/>
        </w:rPr>
        <w:t>farmacológic</w:t>
      </w:r>
      <w:r w:rsidR="007B202E">
        <w:rPr>
          <w:rStyle w:val="hps"/>
          <w:color w:val="222222"/>
          <w:szCs w:val="24"/>
          <w:lang w:val="es-ES"/>
        </w:rPr>
        <w:t>a</w:t>
      </w:r>
      <w:r w:rsidR="00B37434" w:rsidRPr="00B37434">
        <w:rPr>
          <w:rStyle w:val="hps"/>
          <w:color w:val="222222"/>
          <w:szCs w:val="24"/>
          <w:lang w:val="es-ES"/>
        </w:rPr>
        <w:t>s y biológic</w:t>
      </w:r>
      <w:r w:rsidR="007B202E">
        <w:rPr>
          <w:rStyle w:val="hps"/>
          <w:color w:val="222222"/>
          <w:szCs w:val="24"/>
          <w:lang w:val="es-ES"/>
        </w:rPr>
        <w:t>a</w:t>
      </w:r>
      <w:r w:rsidR="00B37434" w:rsidRPr="00B37434">
        <w:rPr>
          <w:rStyle w:val="hps"/>
          <w:color w:val="222222"/>
          <w:szCs w:val="24"/>
          <w:lang w:val="es-ES"/>
        </w:rPr>
        <w:t>s</w:t>
      </w:r>
      <w:r w:rsidR="00B37434" w:rsidRPr="00B37434">
        <w:rPr>
          <w:color w:val="222222"/>
          <w:szCs w:val="24"/>
          <w:lang w:val="es-ES"/>
        </w:rPr>
        <w:t xml:space="preserve">, así como </w:t>
      </w:r>
      <w:r w:rsidR="007B202E">
        <w:rPr>
          <w:color w:val="222222"/>
          <w:szCs w:val="24"/>
          <w:lang w:val="es-ES"/>
        </w:rPr>
        <w:t xml:space="preserve">con </w:t>
      </w:r>
      <w:r w:rsidR="00B37434" w:rsidRPr="00B37434">
        <w:rPr>
          <w:rStyle w:val="hps"/>
          <w:color w:val="222222"/>
          <w:szCs w:val="24"/>
          <w:lang w:val="es-ES"/>
        </w:rPr>
        <w:t>el desarrollo</w:t>
      </w:r>
      <w:r w:rsidR="00B37434" w:rsidRPr="00B37434">
        <w:rPr>
          <w:color w:val="222222"/>
          <w:szCs w:val="24"/>
          <w:lang w:val="es-ES"/>
        </w:rPr>
        <w:t xml:space="preserve"> </w:t>
      </w:r>
      <w:r w:rsidR="00B37434" w:rsidRPr="00B37434">
        <w:rPr>
          <w:rStyle w:val="hps"/>
          <w:color w:val="222222"/>
          <w:szCs w:val="24"/>
          <w:lang w:val="es-ES"/>
        </w:rPr>
        <w:t>de dispositivos médicos</w:t>
      </w:r>
    </w:p>
    <w:p w:rsidR="00660C56" w:rsidRPr="00660C56" w:rsidRDefault="00660C56" w:rsidP="007648EC">
      <w:pPr>
        <w:pStyle w:val="level1bodystyle"/>
        <w:contextualSpacing/>
        <w:jc w:val="both"/>
        <w:rPr>
          <w:lang w:val="es-ES"/>
        </w:rPr>
      </w:pPr>
      <w:r>
        <w:rPr>
          <w:snapToGrid w:val="0"/>
          <w:lang w:val="es-ES"/>
        </w:rPr>
        <w:t>Los miembros del C</w:t>
      </w:r>
      <w:r w:rsidR="007648EC">
        <w:rPr>
          <w:snapToGrid w:val="0"/>
          <w:lang w:val="es-ES"/>
        </w:rPr>
        <w:t>EI</w:t>
      </w:r>
      <w:r>
        <w:rPr>
          <w:snapToGrid w:val="0"/>
          <w:lang w:val="es-ES"/>
        </w:rPr>
        <w:t xml:space="preserve"> son responsables de cumplir con esta declaración.</w:t>
      </w:r>
    </w:p>
    <w:p w:rsidR="00B569E4" w:rsidRDefault="00B37434" w:rsidP="007648EC">
      <w:pPr>
        <w:pStyle w:val="level1bodystyle"/>
        <w:contextualSpacing/>
        <w:jc w:val="both"/>
        <w:rPr>
          <w:lang w:val="es-ES"/>
        </w:rPr>
      </w:pPr>
      <w:r w:rsidRPr="00B37434">
        <w:rPr>
          <w:szCs w:val="24"/>
          <w:lang w:val="es-ES"/>
        </w:rPr>
        <w:t>Es política de nuestra Institución que los encargados de Marketing</w:t>
      </w:r>
      <w:r w:rsidR="001E1EE3">
        <w:rPr>
          <w:szCs w:val="24"/>
          <w:lang w:val="es-ES"/>
        </w:rPr>
        <w:t xml:space="preserve">, </w:t>
      </w:r>
      <w:r w:rsidRPr="00B37434">
        <w:rPr>
          <w:szCs w:val="24"/>
          <w:lang w:val="es-ES"/>
        </w:rPr>
        <w:t xml:space="preserve">e incluso </w:t>
      </w:r>
      <w:r w:rsidR="001E1EE3">
        <w:rPr>
          <w:szCs w:val="24"/>
          <w:lang w:val="es-ES"/>
        </w:rPr>
        <w:t xml:space="preserve">que </w:t>
      </w:r>
      <w:r w:rsidR="007B202E">
        <w:rPr>
          <w:szCs w:val="24"/>
          <w:lang w:val="es-ES"/>
        </w:rPr>
        <w:t>los</w:t>
      </w:r>
      <w:r w:rsidRPr="00B37434">
        <w:rPr>
          <w:szCs w:val="24"/>
          <w:lang w:val="es-ES"/>
        </w:rPr>
        <w:t xml:space="preserve"> miembros</w:t>
      </w:r>
      <w:r w:rsidR="00B569E4">
        <w:rPr>
          <w:lang w:val="es-ES"/>
        </w:rPr>
        <w:t xml:space="preserve"> invitados de la revisión del día a día de los procesos de revisión </w:t>
      </w:r>
      <w:r w:rsidR="007B202E">
        <w:rPr>
          <w:lang w:val="es-ES"/>
        </w:rPr>
        <w:t xml:space="preserve">propios </w:t>
      </w:r>
      <w:r w:rsidR="00B569E4">
        <w:rPr>
          <w:lang w:val="es-ES"/>
        </w:rPr>
        <w:t xml:space="preserve">del </w:t>
      </w:r>
      <w:r w:rsidR="007648EC">
        <w:rPr>
          <w:lang w:val="es-ES"/>
        </w:rPr>
        <w:t>CEI</w:t>
      </w:r>
      <w:r w:rsidR="001E1EE3">
        <w:rPr>
          <w:lang w:val="es-ES"/>
        </w:rPr>
        <w:t xml:space="preserve">, </w:t>
      </w:r>
      <w:r w:rsidR="001E1EE3" w:rsidRPr="00403E74">
        <w:rPr>
          <w:szCs w:val="24"/>
          <w:lang w:val="es-ES"/>
        </w:rPr>
        <w:t xml:space="preserve">no sean miembros del </w:t>
      </w:r>
      <w:r w:rsidR="001E1EE3">
        <w:rPr>
          <w:szCs w:val="24"/>
          <w:lang w:val="es-ES"/>
        </w:rPr>
        <w:t>mismo</w:t>
      </w:r>
      <w:r w:rsidR="00B569E4">
        <w:rPr>
          <w:lang w:val="es-ES"/>
        </w:rPr>
        <w:t xml:space="preserve">. Él área de Marketing y cobranza solo desarrollaran </w:t>
      </w:r>
      <w:r w:rsidR="001E1EE3">
        <w:rPr>
          <w:lang w:val="es-ES"/>
        </w:rPr>
        <w:t xml:space="preserve">actividades </w:t>
      </w:r>
      <w:r w:rsidR="00B569E4">
        <w:rPr>
          <w:lang w:val="es-ES"/>
        </w:rPr>
        <w:t xml:space="preserve">administrativas relacionadas a promover al </w:t>
      </w:r>
      <w:r w:rsidR="007B202E">
        <w:rPr>
          <w:lang w:val="es-ES"/>
        </w:rPr>
        <w:t>c</w:t>
      </w:r>
      <w:r w:rsidR="00B569E4">
        <w:rPr>
          <w:lang w:val="es-ES"/>
        </w:rPr>
        <w:t>entro de Investigación.</w:t>
      </w:r>
    </w:p>
    <w:p w:rsidR="009F2196" w:rsidRDefault="009F2196" w:rsidP="007648EC">
      <w:pPr>
        <w:pStyle w:val="level1bodystyle"/>
        <w:contextualSpacing/>
        <w:jc w:val="both"/>
        <w:rPr>
          <w:lang w:val="es-ES"/>
        </w:rPr>
      </w:pPr>
    </w:p>
    <w:p w:rsidR="009F2196" w:rsidRDefault="009F2196" w:rsidP="007648EC">
      <w:pPr>
        <w:pStyle w:val="level1bodystyle"/>
        <w:contextualSpacing/>
        <w:jc w:val="both"/>
        <w:rPr>
          <w:lang w:val="es-ES"/>
        </w:rPr>
      </w:pPr>
      <w:r>
        <w:rPr>
          <w:lang w:val="es-ES"/>
        </w:rPr>
        <w:t>Pagos:</w:t>
      </w:r>
    </w:p>
    <w:p w:rsidR="007648EC" w:rsidRDefault="009F2196" w:rsidP="007648EC">
      <w:pPr>
        <w:pStyle w:val="level1bodystyle"/>
        <w:contextualSpacing/>
        <w:jc w:val="both"/>
        <w:rPr>
          <w:lang w:val="es-ES"/>
        </w:rPr>
      </w:pPr>
      <w:r>
        <w:rPr>
          <w:lang w:val="es-ES"/>
        </w:rPr>
        <w:t xml:space="preserve">Nuestro sitio, la Facultad de Medicina y del Hospital Universitario, es un </w:t>
      </w:r>
      <w:r w:rsidR="007B202E">
        <w:rPr>
          <w:lang w:val="es-ES"/>
        </w:rPr>
        <w:t>c</w:t>
      </w:r>
      <w:r>
        <w:rPr>
          <w:lang w:val="es-ES"/>
        </w:rPr>
        <w:t xml:space="preserve">entro de atención </w:t>
      </w:r>
      <w:r w:rsidR="00D66B2D">
        <w:rPr>
          <w:lang w:val="es-ES"/>
        </w:rPr>
        <w:t>médica</w:t>
      </w:r>
      <w:r>
        <w:rPr>
          <w:lang w:val="es-ES"/>
        </w:rPr>
        <w:t xml:space="preserve"> de tercer nivel con</w:t>
      </w:r>
      <w:r w:rsidR="007B202E">
        <w:rPr>
          <w:lang w:val="es-ES"/>
        </w:rPr>
        <w:t xml:space="preserve"> un</w:t>
      </w:r>
      <w:r>
        <w:rPr>
          <w:lang w:val="es-ES"/>
        </w:rPr>
        <w:t xml:space="preserve"> alto volumen de pacientes tanto locales como referidos de las diferentes regiones del noreste de México, </w:t>
      </w:r>
    </w:p>
    <w:p w:rsidR="007648EC" w:rsidRDefault="007648EC" w:rsidP="007648EC">
      <w:pPr>
        <w:pStyle w:val="level1bodystyle"/>
        <w:contextualSpacing/>
        <w:jc w:val="both"/>
        <w:rPr>
          <w:lang w:val="es-ES"/>
        </w:rPr>
      </w:pPr>
    </w:p>
    <w:p w:rsidR="009F2196" w:rsidRDefault="009F2196" w:rsidP="007648EC">
      <w:pPr>
        <w:pStyle w:val="level1bodystyle"/>
        <w:contextualSpacing/>
        <w:jc w:val="both"/>
        <w:rPr>
          <w:lang w:val="es-ES"/>
        </w:rPr>
      </w:pPr>
      <w:proofErr w:type="gramStart"/>
      <w:r>
        <w:rPr>
          <w:lang w:val="es-ES"/>
        </w:rPr>
        <w:lastRenderedPageBreak/>
        <w:t>además</w:t>
      </w:r>
      <w:proofErr w:type="gramEnd"/>
      <w:r>
        <w:rPr>
          <w:lang w:val="es-ES"/>
        </w:rPr>
        <w:t xml:space="preserve"> de contar con un n</w:t>
      </w:r>
      <w:r w:rsidR="007B202E">
        <w:rPr>
          <w:lang w:val="es-ES"/>
        </w:rPr>
        <w:t>ú</w:t>
      </w:r>
      <w:r>
        <w:rPr>
          <w:lang w:val="es-ES"/>
        </w:rPr>
        <w:t>mero importante</w:t>
      </w:r>
      <w:r w:rsidR="007B202E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7B202E">
        <w:rPr>
          <w:lang w:val="es-ES"/>
        </w:rPr>
        <w:t xml:space="preserve">pacientes de </w:t>
      </w:r>
      <w:r>
        <w:rPr>
          <w:lang w:val="es-ES"/>
        </w:rPr>
        <w:t>consulta externa donde</w:t>
      </w:r>
      <w:r w:rsidR="00EF3BF2">
        <w:rPr>
          <w:lang w:val="es-ES"/>
        </w:rPr>
        <w:t xml:space="preserve"> se puede reclutar un n</w:t>
      </w:r>
      <w:r w:rsidR="007B202E">
        <w:rPr>
          <w:lang w:val="es-ES"/>
        </w:rPr>
        <w:t>ú</w:t>
      </w:r>
      <w:r w:rsidR="00EF3BF2">
        <w:rPr>
          <w:lang w:val="es-ES"/>
        </w:rPr>
        <w:t>mero importante de pacientes</w:t>
      </w:r>
      <w:r w:rsidR="001E1EE3">
        <w:rPr>
          <w:lang w:val="es-ES"/>
        </w:rPr>
        <w:t>;</w:t>
      </w:r>
      <w:r w:rsidR="00EF3BF2">
        <w:rPr>
          <w:lang w:val="es-ES"/>
        </w:rPr>
        <w:t xml:space="preserve"> sin embargo, nuestro centro esta consiente del pago a intermediarios, reclutadores para</w:t>
      </w:r>
      <w:r w:rsidR="001E1EE3">
        <w:rPr>
          <w:lang w:val="es-ES"/>
        </w:rPr>
        <w:t xml:space="preserve"> a</w:t>
      </w:r>
      <w:r w:rsidR="00EF3BF2">
        <w:rPr>
          <w:lang w:val="es-ES"/>
        </w:rPr>
        <w:t>celerar el proceso de reclutamiento, si es así, el pago no deberá de exceder el cobro de 3 consultas, o de un 25% del pago por la realización de dicho procedimiento o tratamiento</w:t>
      </w:r>
      <w:r w:rsidR="001E1EE3">
        <w:rPr>
          <w:lang w:val="es-ES"/>
        </w:rPr>
        <w:t>,</w:t>
      </w:r>
      <w:r w:rsidR="00EF3BF2">
        <w:rPr>
          <w:lang w:val="es-ES"/>
        </w:rPr>
        <w:t xml:space="preserve"> en el caso de referir un paciente y </w:t>
      </w:r>
      <w:r w:rsidR="001E1EE3">
        <w:rPr>
          <w:lang w:val="es-ES"/>
        </w:rPr>
        <w:t xml:space="preserve">de </w:t>
      </w:r>
      <w:r w:rsidR="00EF3BF2">
        <w:rPr>
          <w:lang w:val="es-ES"/>
        </w:rPr>
        <w:t>que se logre su tratamiento. El concepto de “bonos” por cumplir a tiempo el reclutamiento de pacientes por terceros</w:t>
      </w:r>
      <w:r w:rsidR="001E1EE3">
        <w:rPr>
          <w:lang w:val="es-ES"/>
        </w:rPr>
        <w:t>,</w:t>
      </w:r>
      <w:r w:rsidR="00EF3BF2">
        <w:rPr>
          <w:lang w:val="es-ES"/>
        </w:rPr>
        <w:t xml:space="preserve"> no deberá de exceder 25 consultas promedio.</w:t>
      </w:r>
    </w:p>
    <w:p w:rsidR="009E2608" w:rsidRDefault="009E2608" w:rsidP="007648EC">
      <w:pPr>
        <w:contextualSpacing/>
        <w:jc w:val="both"/>
        <w:rPr>
          <w:rFonts w:ascii="Arial" w:hAnsi="Arial" w:cs="Arial"/>
          <w:b/>
        </w:rPr>
      </w:pPr>
    </w:p>
    <w:p w:rsidR="001B213D" w:rsidRDefault="001B213D" w:rsidP="007648E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ALCANCE</w:t>
      </w:r>
    </w:p>
    <w:p w:rsidR="00CC79A3" w:rsidRDefault="00CC79A3" w:rsidP="007648EC">
      <w:pPr>
        <w:contextualSpacing/>
        <w:jc w:val="both"/>
        <w:rPr>
          <w:rFonts w:ascii="Arial" w:hAnsi="Arial" w:cs="Arial"/>
          <w:b/>
        </w:rPr>
      </w:pPr>
    </w:p>
    <w:p w:rsidR="005247C2" w:rsidRDefault="005247C2" w:rsidP="007648EC">
      <w:pPr>
        <w:pStyle w:val="level1bodystyle"/>
        <w:contextualSpacing/>
        <w:jc w:val="both"/>
        <w:rPr>
          <w:lang w:val="es-ES"/>
        </w:rPr>
      </w:pPr>
      <w:r>
        <w:rPr>
          <w:lang w:val="es-ES"/>
        </w:rPr>
        <w:t xml:space="preserve">Estas políticas y  procedimientos se aplican a cada uno de los miembros del </w:t>
      </w:r>
      <w:r w:rsidR="007648EC">
        <w:rPr>
          <w:lang w:val="es-ES"/>
        </w:rPr>
        <w:t>CEI, a</w:t>
      </w:r>
      <w:r w:rsidR="00D542E5">
        <w:rPr>
          <w:lang w:val="es-ES"/>
        </w:rPr>
        <w:t>s</w:t>
      </w:r>
      <w:r w:rsidR="00660C56">
        <w:rPr>
          <w:lang w:val="es-ES"/>
        </w:rPr>
        <w:t>í</w:t>
      </w:r>
      <w:r w:rsidR="00D542E5">
        <w:rPr>
          <w:lang w:val="es-ES"/>
        </w:rPr>
        <w:t xml:space="preserve"> como a todos los miembros relacionados con el Programa de Protección de Sujetos </w:t>
      </w:r>
      <w:r w:rsidR="00660C56">
        <w:rPr>
          <w:lang w:val="es-ES"/>
        </w:rPr>
        <w:t>de</w:t>
      </w:r>
      <w:r w:rsidR="00D542E5">
        <w:rPr>
          <w:lang w:val="es-ES"/>
        </w:rPr>
        <w:t xml:space="preserve"> Investigación.</w:t>
      </w:r>
    </w:p>
    <w:p w:rsidR="008A07E7" w:rsidRDefault="008A07E7" w:rsidP="007648EC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7648EC">
      <w:pPr>
        <w:contextualSpacing/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V. PROCEDIMIENTO</w:t>
      </w:r>
    </w:p>
    <w:p w:rsidR="007A41ED" w:rsidRDefault="007A41ED" w:rsidP="007648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MX"/>
        </w:rPr>
      </w:pPr>
    </w:p>
    <w:p w:rsidR="008A07E7" w:rsidRDefault="008A07E7" w:rsidP="007648EC">
      <w:pPr>
        <w:spacing w:before="120"/>
        <w:ind w:left="28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Describ</w:t>
      </w:r>
      <w:r w:rsidR="00660C56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</w:t>
      </w:r>
      <w:r w:rsidR="00660C56">
        <w:rPr>
          <w:rFonts w:ascii="Arial" w:hAnsi="Arial" w:cs="Arial"/>
        </w:rPr>
        <w:t>el manejo</w:t>
      </w:r>
      <w:r>
        <w:rPr>
          <w:rFonts w:ascii="Arial" w:hAnsi="Arial" w:cs="Arial"/>
        </w:rPr>
        <w:t xml:space="preserve"> </w:t>
      </w:r>
      <w:r w:rsidR="00660C56">
        <w:rPr>
          <w:rFonts w:ascii="Arial" w:hAnsi="Arial" w:cs="Arial"/>
        </w:rPr>
        <w:t xml:space="preserve">y la supervisión </w:t>
      </w:r>
      <w:r>
        <w:rPr>
          <w:rFonts w:ascii="Arial" w:hAnsi="Arial" w:cs="Arial"/>
        </w:rPr>
        <w:t xml:space="preserve">del personal del Comité para asegurar que </w:t>
      </w:r>
      <w:r w:rsidR="00660C56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miembro</w:t>
      </w:r>
      <w:r w:rsidR="00660C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tiene</w:t>
      </w:r>
      <w:r w:rsidR="00660C5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la pericia y el compromiso de cumplir con sus mandatos regulatorios e institucionales. </w:t>
      </w:r>
    </w:p>
    <w:p w:rsidR="00B50A97" w:rsidRPr="008A07E7" w:rsidRDefault="00B50A97" w:rsidP="007648EC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46"/>
        <w:gridCol w:w="2409"/>
      </w:tblGrid>
      <w:tr w:rsidR="00EA2201" w:rsidTr="00660C56">
        <w:trPr>
          <w:cantSplit/>
        </w:trPr>
        <w:tc>
          <w:tcPr>
            <w:tcW w:w="2250" w:type="dxa"/>
            <w:shd w:val="pct10" w:color="000000" w:fill="FFFFFF"/>
          </w:tcPr>
          <w:p w:rsidR="00EA2201" w:rsidRDefault="00EA2201" w:rsidP="007648EC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</w:p>
        </w:tc>
        <w:tc>
          <w:tcPr>
            <w:tcW w:w="3846" w:type="dxa"/>
            <w:shd w:val="pct10" w:color="000000" w:fill="FFFFFF"/>
          </w:tcPr>
          <w:p w:rsidR="00EA2201" w:rsidRDefault="00EA2201" w:rsidP="007648EC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409" w:type="dxa"/>
            <w:shd w:val="pct10" w:color="000000" w:fill="FFFFFF"/>
          </w:tcPr>
          <w:p w:rsidR="00EA2201" w:rsidRDefault="00EA2201" w:rsidP="007648EC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EA2201" w:rsidTr="00660C56">
        <w:trPr>
          <w:cantSplit/>
        </w:trPr>
        <w:tc>
          <w:tcPr>
            <w:tcW w:w="2250" w:type="dxa"/>
            <w:shd w:val="pct5" w:color="000000" w:fill="FFFFFF"/>
            <w:vAlign w:val="center"/>
          </w:tcPr>
          <w:p w:rsidR="00EA2201" w:rsidRPr="00660C56" w:rsidRDefault="00B37434" w:rsidP="007648EC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  <w:r w:rsidRPr="00B37434">
              <w:rPr>
                <w:i/>
                <w:lang w:val="es-ES"/>
              </w:rPr>
              <w:t xml:space="preserve">Presidente del </w:t>
            </w:r>
            <w:r w:rsidR="007648EC">
              <w:rPr>
                <w:i/>
                <w:lang w:val="es-ES"/>
              </w:rPr>
              <w:t>CEI</w:t>
            </w:r>
            <w:r w:rsidRPr="00B37434">
              <w:rPr>
                <w:i/>
                <w:lang w:val="es-ES"/>
              </w:rPr>
              <w:t>.</w:t>
            </w:r>
          </w:p>
          <w:p w:rsidR="00EA2201" w:rsidRPr="00660C56" w:rsidRDefault="00EA2201" w:rsidP="007648EC">
            <w:pPr>
              <w:pStyle w:val="procedurestablestyle"/>
              <w:keepNext/>
              <w:keepLines/>
              <w:spacing w:before="200"/>
              <w:contextualSpacing/>
              <w:jc w:val="both"/>
              <w:rPr>
                <w:i/>
                <w:lang w:val="es-ES"/>
              </w:rPr>
            </w:pPr>
          </w:p>
          <w:p w:rsidR="00EA2201" w:rsidRDefault="00EA2201" w:rsidP="007648EC">
            <w:pPr>
              <w:pStyle w:val="procedurestablestyle"/>
              <w:contextualSpacing/>
              <w:jc w:val="both"/>
              <w:rPr>
                <w:lang w:val="es-MX"/>
              </w:rPr>
            </w:pPr>
          </w:p>
        </w:tc>
        <w:tc>
          <w:tcPr>
            <w:tcW w:w="3846" w:type="dxa"/>
            <w:shd w:val="pct5" w:color="000000" w:fill="FFFFFF"/>
          </w:tcPr>
          <w:p w:rsidR="008A3E7D" w:rsidRDefault="00551BDA" w:rsidP="007648EC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Es</w:t>
            </w:r>
            <w:r w:rsidR="00BD584C">
              <w:rPr>
                <w:lang w:val="es-ES"/>
              </w:rPr>
              <w:t xml:space="preserve"> el responsable de determinar que</w:t>
            </w:r>
            <w:r>
              <w:rPr>
                <w:lang w:val="es-ES"/>
              </w:rPr>
              <w:t xml:space="preserve"> todos los miembros del Programa HRPP no tengan relación alguna</w:t>
            </w:r>
            <w:r w:rsidR="00660C56">
              <w:rPr>
                <w:lang w:val="es-ES"/>
              </w:rPr>
              <w:t xml:space="preserve"> con, o s</w:t>
            </w:r>
            <w:r>
              <w:rPr>
                <w:lang w:val="es-ES"/>
              </w:rPr>
              <w:t>on propietarios</w:t>
            </w:r>
            <w:r w:rsidR="00660C56">
              <w:rPr>
                <w:lang w:val="es-ES"/>
              </w:rPr>
              <w:t xml:space="preserve"> de,</w:t>
            </w:r>
            <w:r>
              <w:rPr>
                <w:lang w:val="es-ES"/>
              </w:rPr>
              <w:t xml:space="preserve"> negocios que pudieran afectar las decisiones éticas tomadas por el </w:t>
            </w:r>
            <w:r w:rsidR="00660C56">
              <w:rPr>
                <w:lang w:val="es-ES"/>
              </w:rPr>
              <w:t>C</w:t>
            </w:r>
            <w:r>
              <w:rPr>
                <w:lang w:val="es-ES"/>
              </w:rPr>
              <w:t>omité.</w:t>
            </w:r>
          </w:p>
        </w:tc>
        <w:tc>
          <w:tcPr>
            <w:tcW w:w="2409" w:type="dxa"/>
            <w:shd w:val="pct5" w:color="000000" w:fill="FFFFFF"/>
          </w:tcPr>
          <w:p w:rsidR="00EA2201" w:rsidRDefault="00A30C7A" w:rsidP="007648E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F-</w:t>
            </w:r>
            <w:r w:rsidR="00551BDA">
              <w:rPr>
                <w:rFonts w:ascii="Arial" w:hAnsi="Arial" w:cs="Arial"/>
              </w:rPr>
              <w:t>OR-201-A</w:t>
            </w:r>
            <w:r>
              <w:rPr>
                <w:rFonts w:ascii="Arial" w:hAnsi="Arial" w:cs="Arial"/>
              </w:rPr>
              <w:t>-05</w:t>
            </w:r>
            <w:bookmarkStart w:id="0" w:name="_GoBack"/>
            <w:bookmarkEnd w:id="0"/>
          </w:p>
          <w:p w:rsidR="00EA2201" w:rsidRDefault="00EA2201" w:rsidP="007648EC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B569E4" w:rsidTr="00660C56">
        <w:trPr>
          <w:cantSplit/>
        </w:trPr>
        <w:tc>
          <w:tcPr>
            <w:tcW w:w="2250" w:type="dxa"/>
            <w:shd w:val="pct5" w:color="000000" w:fill="FFFFFF"/>
            <w:vAlign w:val="center"/>
          </w:tcPr>
          <w:p w:rsidR="007648EC" w:rsidRPr="00660C56" w:rsidRDefault="007648EC" w:rsidP="007648EC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  <w:r w:rsidRPr="00B37434">
              <w:rPr>
                <w:i/>
                <w:lang w:val="es-ES"/>
              </w:rPr>
              <w:t xml:space="preserve">Presidente del </w:t>
            </w:r>
            <w:r>
              <w:rPr>
                <w:i/>
                <w:lang w:val="es-ES"/>
              </w:rPr>
              <w:t>CEI</w:t>
            </w:r>
            <w:r w:rsidRPr="00B37434">
              <w:rPr>
                <w:i/>
                <w:lang w:val="es-ES"/>
              </w:rPr>
              <w:t>.</w:t>
            </w:r>
          </w:p>
          <w:p w:rsidR="00B569E4" w:rsidRDefault="00B569E4" w:rsidP="007648EC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</w:p>
        </w:tc>
        <w:tc>
          <w:tcPr>
            <w:tcW w:w="3846" w:type="dxa"/>
            <w:shd w:val="pct5" w:color="000000" w:fill="FFFFFF"/>
          </w:tcPr>
          <w:p w:rsidR="008A3E7D" w:rsidRDefault="00B569E4" w:rsidP="007648EC">
            <w:pPr>
              <w:pStyle w:val="procedurestablestyle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Vigilar que los miembros no tengan relación alguna con el área de marketing y cobranza</w:t>
            </w:r>
            <w:r w:rsidR="00660C56">
              <w:rPr>
                <w:lang w:val="es-ES"/>
              </w:rPr>
              <w:t>.</w:t>
            </w:r>
          </w:p>
        </w:tc>
        <w:tc>
          <w:tcPr>
            <w:tcW w:w="2409" w:type="dxa"/>
            <w:shd w:val="pct5" w:color="000000" w:fill="FFFFFF"/>
          </w:tcPr>
          <w:p w:rsidR="00B569E4" w:rsidRDefault="00B569E4" w:rsidP="007648E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B50A97" w:rsidRDefault="00B50A97" w:rsidP="007648EC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p w:rsidR="00B50A97" w:rsidRDefault="00B50A97" w:rsidP="007648EC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Pr="00803517" w:rsidRDefault="00803517" w:rsidP="007648EC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7648EC">
      <w:pPr>
        <w:contextualSpacing/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D3DE3" w:rsidRDefault="003D3DE3" w:rsidP="007648EC">
      <w:pPr>
        <w:contextualSpacing/>
        <w:jc w:val="both"/>
        <w:rPr>
          <w:rFonts w:ascii="Arial" w:hAnsi="Arial" w:cs="Arial"/>
          <w:b/>
        </w:rPr>
      </w:pPr>
    </w:p>
    <w:p w:rsidR="009C37B1" w:rsidRDefault="00D542E5" w:rsidP="007648EC">
      <w:pPr>
        <w:tabs>
          <w:tab w:val="left" w:pos="1728"/>
          <w:tab w:val="left" w:pos="1998"/>
          <w:tab w:val="left" w:pos="10278"/>
        </w:tabs>
        <w:ind w:left="28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previsto en el </w:t>
      </w:r>
      <w:r w:rsidR="00707491">
        <w:rPr>
          <w:rFonts w:ascii="Arial" w:hAnsi="Arial" w:cs="Arial"/>
        </w:rPr>
        <w:t>F-OR-201-</w:t>
      </w:r>
      <w:r>
        <w:rPr>
          <w:rFonts w:ascii="Arial" w:hAnsi="Arial" w:cs="Arial"/>
        </w:rPr>
        <w:t>A</w:t>
      </w:r>
      <w:r w:rsidR="00707491">
        <w:rPr>
          <w:rFonts w:ascii="Arial" w:hAnsi="Arial" w:cs="Arial"/>
        </w:rPr>
        <w:t>-05</w:t>
      </w:r>
    </w:p>
    <w:p w:rsidR="003D3DE3" w:rsidRPr="003711D6" w:rsidRDefault="003D3DE3" w:rsidP="007648EC">
      <w:pPr>
        <w:ind w:firstLine="708"/>
        <w:contextualSpacing/>
        <w:jc w:val="both"/>
        <w:rPr>
          <w:rFonts w:ascii="Arial" w:hAnsi="Arial" w:cs="Arial"/>
        </w:rPr>
      </w:pPr>
    </w:p>
    <w:p w:rsidR="00B50A97" w:rsidRDefault="00B50A97" w:rsidP="007648EC">
      <w:pPr>
        <w:contextualSpacing/>
        <w:jc w:val="both"/>
        <w:rPr>
          <w:rFonts w:ascii="Arial" w:hAnsi="Arial" w:cs="Arial"/>
          <w:b/>
        </w:rPr>
      </w:pPr>
    </w:p>
    <w:p w:rsidR="00830631" w:rsidRDefault="00830631" w:rsidP="007648E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INTERES</w:t>
      </w:r>
      <w:r w:rsidR="002E2FEC">
        <w:rPr>
          <w:rFonts w:ascii="Arial" w:hAnsi="Arial" w:cs="Arial"/>
          <w:b/>
        </w:rPr>
        <w:t xml:space="preserve"> O DE DESCARGA</w:t>
      </w:r>
    </w:p>
    <w:p w:rsidR="00985FCE" w:rsidRDefault="00985FCE" w:rsidP="007648EC">
      <w:pPr>
        <w:contextualSpacing/>
        <w:jc w:val="both"/>
        <w:rPr>
          <w:rFonts w:ascii="Arial" w:hAnsi="Arial" w:cs="Arial"/>
          <w:b/>
        </w:rPr>
      </w:pPr>
    </w:p>
    <w:p w:rsidR="009C4C4B" w:rsidRDefault="007648EC" w:rsidP="007648EC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Ninguna </w:t>
      </w:r>
    </w:p>
    <w:p w:rsidR="00CB37E8" w:rsidRDefault="00CB37E8" w:rsidP="007648EC">
      <w:pPr>
        <w:contextualSpacing/>
        <w:jc w:val="both"/>
        <w:rPr>
          <w:rFonts w:ascii="Arial" w:hAnsi="Arial" w:cs="Arial"/>
        </w:rPr>
      </w:pPr>
    </w:p>
    <w:p w:rsidR="00803517" w:rsidRPr="00803517" w:rsidRDefault="00803517" w:rsidP="007648EC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7648EC">
      <w:pPr>
        <w:contextualSpacing/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</w:p>
    <w:p w:rsidR="003711D6" w:rsidRDefault="003711D6" w:rsidP="007648EC">
      <w:pPr>
        <w:pStyle w:val="level1bodystyle"/>
        <w:ind w:left="1080"/>
        <w:contextualSpacing/>
        <w:jc w:val="both"/>
        <w:rPr>
          <w:lang w:val="es-ES"/>
        </w:rPr>
      </w:pPr>
    </w:p>
    <w:p w:rsidR="00DA0186" w:rsidRPr="0066775B" w:rsidRDefault="006401B4" w:rsidP="007648EC">
      <w:pPr>
        <w:pStyle w:val="level1bodystyle"/>
        <w:numPr>
          <w:ilvl w:val="0"/>
          <w:numId w:val="11"/>
        </w:numPr>
        <w:contextualSpacing/>
        <w:jc w:val="both"/>
        <w:rPr>
          <w:b/>
          <w:lang w:val="es-ES"/>
        </w:rPr>
      </w:pPr>
      <w:r w:rsidRPr="009C4C4B">
        <w:rPr>
          <w:lang w:val="es-MX"/>
        </w:rPr>
        <w:t>Referencia de la AAHRPP</w:t>
      </w:r>
      <w:r w:rsidR="00E81964" w:rsidRPr="009C4C4B">
        <w:rPr>
          <w:lang w:val="es-MX"/>
        </w:rPr>
        <w:t xml:space="preserve">. </w:t>
      </w:r>
      <w:r w:rsidR="00985FCE">
        <w:rPr>
          <w:lang w:val="es-MX"/>
        </w:rPr>
        <w:t xml:space="preserve">Elemento </w:t>
      </w:r>
      <w:r w:rsidR="00D542E5">
        <w:rPr>
          <w:lang w:val="es-MX"/>
        </w:rPr>
        <w:t>II.1.C</w:t>
      </w:r>
      <w:r w:rsidR="00530C82">
        <w:rPr>
          <w:lang w:val="es-MX"/>
        </w:rPr>
        <w:t>, II.1.B</w:t>
      </w:r>
    </w:p>
    <w:p w:rsidR="0066775B" w:rsidRPr="00277294" w:rsidRDefault="0066775B" w:rsidP="007648EC">
      <w:pPr>
        <w:pStyle w:val="level1bodystyle"/>
        <w:ind w:left="1080"/>
        <w:contextualSpacing/>
        <w:jc w:val="both"/>
        <w:rPr>
          <w:b/>
          <w:lang w:val="es-ES"/>
        </w:rPr>
      </w:pPr>
    </w:p>
    <w:p w:rsidR="00011000" w:rsidRPr="00D542E5" w:rsidRDefault="00011000" w:rsidP="007648EC">
      <w:pPr>
        <w:spacing w:after="200" w:line="276" w:lineRule="auto"/>
        <w:contextualSpacing/>
        <w:rPr>
          <w:rStyle w:val="SOPheading"/>
          <w:b w:val="0"/>
          <w:sz w:val="24"/>
          <w:szCs w:val="20"/>
          <w:bdr w:val="none" w:sz="0" w:space="0" w:color="auto"/>
          <w:lang w:val="es-MX" w:eastAsia="en-US"/>
        </w:rPr>
      </w:pPr>
    </w:p>
    <w:sectPr w:rsidR="00011000" w:rsidRPr="00D542E5" w:rsidSect="009907D8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05" w:rsidRDefault="000B1F05" w:rsidP="00CB37E8">
      <w:r>
        <w:separator/>
      </w:r>
    </w:p>
  </w:endnote>
  <w:endnote w:type="continuationSeparator" w:id="0">
    <w:p w:rsidR="000B1F05" w:rsidRDefault="000B1F05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7B202E" w:rsidRDefault="007B202E">
            <w:pPr>
              <w:pStyle w:val="Piedepgina"/>
              <w:jc w:val="right"/>
            </w:pPr>
            <w:r>
              <w:t xml:space="preserve">Página </w:t>
            </w:r>
            <w:r w:rsidR="001D024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D0243">
              <w:rPr>
                <w:b/>
              </w:rPr>
              <w:fldChar w:fldCharType="separate"/>
            </w:r>
            <w:r w:rsidR="00A30C7A">
              <w:rPr>
                <w:b/>
                <w:noProof/>
              </w:rPr>
              <w:t>2</w:t>
            </w:r>
            <w:r w:rsidR="001D0243">
              <w:rPr>
                <w:b/>
              </w:rPr>
              <w:fldChar w:fldCharType="end"/>
            </w:r>
            <w:r>
              <w:t xml:space="preserve"> de </w:t>
            </w:r>
            <w:r w:rsidR="001D024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D0243">
              <w:rPr>
                <w:b/>
              </w:rPr>
              <w:fldChar w:fldCharType="separate"/>
            </w:r>
            <w:r w:rsidR="00A30C7A">
              <w:rPr>
                <w:b/>
                <w:noProof/>
              </w:rPr>
              <w:t>3</w:t>
            </w:r>
            <w:r w:rsidR="001D0243">
              <w:rPr>
                <w:b/>
              </w:rPr>
              <w:fldChar w:fldCharType="end"/>
            </w:r>
          </w:p>
        </w:sdtContent>
      </w:sdt>
    </w:sdtContent>
  </w:sdt>
  <w:p w:rsidR="007B202E" w:rsidRDefault="007B20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05" w:rsidRDefault="000B1F05" w:rsidP="00CB37E8">
      <w:r>
        <w:separator/>
      </w:r>
    </w:p>
  </w:footnote>
  <w:footnote w:type="continuationSeparator" w:id="0">
    <w:p w:rsidR="000B1F05" w:rsidRDefault="000B1F05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2E" w:rsidRDefault="007B202E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7B202E" w:rsidTr="007A5DCE">
      <w:trPr>
        <w:trHeight w:val="410"/>
      </w:trPr>
      <w:tc>
        <w:tcPr>
          <w:tcW w:w="1196" w:type="pct"/>
          <w:vMerge w:val="restart"/>
        </w:tcPr>
        <w:p w:rsidR="007B202E" w:rsidRDefault="007B202E" w:rsidP="007A5DCE">
          <w:pPr>
            <w:rPr>
              <w:sz w:val="10"/>
            </w:rPr>
          </w:pPr>
        </w:p>
        <w:p w:rsidR="007B202E" w:rsidRDefault="007B202E" w:rsidP="007A5DCE">
          <w:pPr>
            <w:rPr>
              <w:rFonts w:ascii="Arial" w:hAnsi="Arial" w:cs="Arial"/>
              <w:sz w:val="12"/>
            </w:rPr>
          </w:pPr>
        </w:p>
        <w:p w:rsidR="007B202E" w:rsidRDefault="007B202E" w:rsidP="007A5DCE">
          <w:pPr>
            <w:rPr>
              <w:rFonts w:ascii="Arial" w:hAnsi="Arial" w:cs="Arial"/>
              <w:sz w:val="12"/>
            </w:rPr>
          </w:pPr>
        </w:p>
        <w:p w:rsidR="007B202E" w:rsidRDefault="007B202E" w:rsidP="007A5DCE">
          <w:pPr>
            <w:rPr>
              <w:rFonts w:ascii="Arial" w:hAnsi="Arial" w:cs="Arial"/>
              <w:sz w:val="12"/>
            </w:rPr>
          </w:pPr>
        </w:p>
        <w:p w:rsidR="007B202E" w:rsidRDefault="007B202E" w:rsidP="007A5DCE">
          <w:pPr>
            <w:rPr>
              <w:rFonts w:ascii="Arial" w:hAnsi="Arial" w:cs="Arial"/>
              <w:sz w:val="12"/>
            </w:rPr>
          </w:pPr>
        </w:p>
        <w:p w:rsidR="007B202E" w:rsidRDefault="007B202E" w:rsidP="007A5DCE">
          <w:pPr>
            <w:rPr>
              <w:rFonts w:ascii="Arial" w:hAnsi="Arial" w:cs="Arial"/>
              <w:sz w:val="12"/>
            </w:rPr>
          </w:pPr>
        </w:p>
        <w:p w:rsidR="007B202E" w:rsidRDefault="007B202E" w:rsidP="007A5DCE">
          <w:pPr>
            <w:rPr>
              <w:rFonts w:ascii="Arial" w:hAnsi="Arial" w:cs="Arial"/>
              <w:sz w:val="12"/>
            </w:rPr>
          </w:pPr>
        </w:p>
        <w:p w:rsidR="004E0147" w:rsidRDefault="004E0147" w:rsidP="004E0147">
          <w:pPr>
            <w:rPr>
              <w:rFonts w:ascii="Arial" w:hAnsi="Arial" w:cs="Arial"/>
              <w:sz w:val="12"/>
            </w:rPr>
          </w:pPr>
        </w:p>
        <w:p w:rsidR="004E0147" w:rsidRDefault="004E0147" w:rsidP="004E0147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1312" behindDoc="0" locked="0" layoutInCell="1" allowOverlap="1" wp14:anchorId="27710CEB" wp14:editId="37095D8D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4E0147" w:rsidRDefault="004E0147" w:rsidP="004E0147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B202E" w:rsidRPr="00DB53D2" w:rsidRDefault="004E0147" w:rsidP="004E0147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7B202E" w:rsidRDefault="007B202E" w:rsidP="00BD2401">
          <w:r>
            <w:rPr>
              <w:rFonts w:ascii="Arial" w:hAnsi="Arial" w:cs="Arial"/>
              <w:b/>
              <w:caps/>
              <w:lang w:val="es-MX"/>
            </w:rPr>
            <w:t xml:space="preserve">SOP:        </w:t>
          </w:r>
          <w:r w:rsidRPr="00BE78AA">
            <w:rPr>
              <w:rFonts w:ascii="Arial" w:hAnsi="Arial" w:cs="Arial"/>
              <w:b/>
              <w:caps/>
              <w:lang w:val="es-MX"/>
            </w:rPr>
            <w:t>SEPARACI</w:t>
          </w:r>
          <w:r>
            <w:rPr>
              <w:rFonts w:ascii="Arial" w:hAnsi="Arial" w:cs="Arial"/>
              <w:b/>
              <w:caps/>
              <w:lang w:val="es-MX"/>
            </w:rPr>
            <w:t>Ó</w:t>
          </w:r>
          <w:r w:rsidRPr="00BE78AA">
            <w:rPr>
              <w:rFonts w:ascii="Arial" w:hAnsi="Arial" w:cs="Arial"/>
              <w:b/>
              <w:caps/>
              <w:lang w:val="es-MX"/>
            </w:rPr>
            <w:t>N DE INTERESES. NEGOCIOS</w:t>
          </w:r>
          <w:r>
            <w:rPr>
              <w:rFonts w:ascii="Arial" w:hAnsi="Arial" w:cs="Arial"/>
              <w:b/>
              <w:caps/>
              <w:lang w:val="es-MX"/>
            </w:rPr>
            <w:t xml:space="preserve"> É</w:t>
          </w:r>
          <w:r w:rsidRPr="00BE78AA">
            <w:rPr>
              <w:rFonts w:ascii="Arial" w:hAnsi="Arial" w:cs="Arial"/>
              <w:b/>
              <w:caps/>
              <w:lang w:val="es-MX"/>
            </w:rPr>
            <w:t>TICOS</w:t>
          </w:r>
        </w:p>
      </w:tc>
    </w:tr>
    <w:tr w:rsidR="007B202E" w:rsidTr="007A5DCE">
      <w:trPr>
        <w:trHeight w:val="343"/>
      </w:trPr>
      <w:tc>
        <w:tcPr>
          <w:tcW w:w="1196" w:type="pct"/>
          <w:vMerge/>
        </w:tcPr>
        <w:p w:rsidR="007B202E" w:rsidRDefault="007B202E" w:rsidP="007A5DCE"/>
      </w:tc>
      <w:tc>
        <w:tcPr>
          <w:tcW w:w="643" w:type="pct"/>
        </w:tcPr>
        <w:p w:rsidR="007B202E" w:rsidRPr="00803517" w:rsidRDefault="007B202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</w:t>
          </w:r>
          <w:r>
            <w:rPr>
              <w:rFonts w:ascii="Arial" w:hAnsi="Arial" w:cs="Arial"/>
              <w:sz w:val="16"/>
            </w:rPr>
            <w:t>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B202E" w:rsidRPr="00803517" w:rsidRDefault="007B202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B202E" w:rsidRPr="00803517" w:rsidRDefault="007B202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B202E" w:rsidRPr="00803517" w:rsidRDefault="007B202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B202E" w:rsidTr="007A5DCE">
      <w:trPr>
        <w:trHeight w:val="544"/>
      </w:trPr>
      <w:tc>
        <w:tcPr>
          <w:tcW w:w="1196" w:type="pct"/>
          <w:vMerge/>
        </w:tcPr>
        <w:p w:rsidR="007B202E" w:rsidRDefault="007B202E" w:rsidP="007A5DCE"/>
      </w:tc>
      <w:tc>
        <w:tcPr>
          <w:tcW w:w="643" w:type="pct"/>
        </w:tcPr>
        <w:p w:rsidR="007B202E" w:rsidRDefault="007B202E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OR-204</w:t>
          </w:r>
        </w:p>
        <w:p w:rsidR="007B202E" w:rsidRPr="00803517" w:rsidRDefault="0070749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7B202E" w:rsidRPr="00803517" w:rsidRDefault="0070749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7B202E" w:rsidRPr="00803517" w:rsidRDefault="007B202E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</w:t>
          </w:r>
          <w:r w:rsidR="00707491">
            <w:rPr>
              <w:rFonts w:ascii="Arial" w:hAnsi="Arial" w:cs="Arial"/>
              <w:sz w:val="20"/>
              <w:szCs w:val="20"/>
            </w:rPr>
            <w:t>, A Carlos, E. Cantú</w:t>
          </w:r>
        </w:p>
      </w:tc>
      <w:tc>
        <w:tcPr>
          <w:tcW w:w="1262" w:type="pct"/>
        </w:tcPr>
        <w:p w:rsidR="007B202E" w:rsidRPr="00803517" w:rsidRDefault="0070749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7B202E" w:rsidRDefault="007B202E">
    <w:pPr>
      <w:pStyle w:val="Encabezado"/>
    </w:pPr>
  </w:p>
  <w:p w:rsidR="007B202E" w:rsidRDefault="007B20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1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7C1E"/>
    <w:multiLevelType w:val="hybridMultilevel"/>
    <w:tmpl w:val="B76E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5">
    <w:nsid w:val="18A515E5"/>
    <w:multiLevelType w:val="hybridMultilevel"/>
    <w:tmpl w:val="2BFCC2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E2E42"/>
    <w:multiLevelType w:val="hybridMultilevel"/>
    <w:tmpl w:val="CC845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95ED8"/>
    <w:multiLevelType w:val="hybridMultilevel"/>
    <w:tmpl w:val="ACE09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52756"/>
    <w:multiLevelType w:val="multilevel"/>
    <w:tmpl w:val="A2B2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AEB099F"/>
    <w:multiLevelType w:val="hybridMultilevel"/>
    <w:tmpl w:val="91CE05E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5">
    <w:nsid w:val="4AC958C5"/>
    <w:multiLevelType w:val="hybridMultilevel"/>
    <w:tmpl w:val="AC442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52E3F"/>
    <w:multiLevelType w:val="hybridMultilevel"/>
    <w:tmpl w:val="C756B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F17AAD"/>
    <w:multiLevelType w:val="hybridMultilevel"/>
    <w:tmpl w:val="10F4B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F446E4"/>
    <w:multiLevelType w:val="hybridMultilevel"/>
    <w:tmpl w:val="9DDEB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6289A"/>
    <w:multiLevelType w:val="hybridMultilevel"/>
    <w:tmpl w:val="BFFA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0B2B53"/>
    <w:multiLevelType w:val="hybridMultilevel"/>
    <w:tmpl w:val="81FC2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45CC0"/>
    <w:multiLevelType w:val="hybridMultilevel"/>
    <w:tmpl w:val="160E83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24"/>
  </w:num>
  <w:num w:numId="14">
    <w:abstractNumId w:val="17"/>
  </w:num>
  <w:num w:numId="15">
    <w:abstractNumId w:val="8"/>
  </w:num>
  <w:num w:numId="16">
    <w:abstractNumId w:val="23"/>
  </w:num>
  <w:num w:numId="17">
    <w:abstractNumId w:val="5"/>
  </w:num>
  <w:num w:numId="18">
    <w:abstractNumId w:val="15"/>
  </w:num>
  <w:num w:numId="19">
    <w:abstractNumId w:val="13"/>
  </w:num>
  <w:num w:numId="20">
    <w:abstractNumId w:val="19"/>
  </w:num>
  <w:num w:numId="21">
    <w:abstractNumId w:val="12"/>
  </w:num>
  <w:num w:numId="22">
    <w:abstractNumId w:val="2"/>
  </w:num>
  <w:num w:numId="23">
    <w:abstractNumId w:val="10"/>
  </w:num>
  <w:num w:numId="24">
    <w:abstractNumId w:val="25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11000"/>
    <w:rsid w:val="00030A6B"/>
    <w:rsid w:val="00072CB1"/>
    <w:rsid w:val="000B1F05"/>
    <w:rsid w:val="000C17A5"/>
    <w:rsid w:val="000C22EF"/>
    <w:rsid w:val="000D6C2D"/>
    <w:rsid w:val="0011116D"/>
    <w:rsid w:val="00160AFA"/>
    <w:rsid w:val="0018311D"/>
    <w:rsid w:val="001B213D"/>
    <w:rsid w:val="001B7C9F"/>
    <w:rsid w:val="001C7CF9"/>
    <w:rsid w:val="001D0243"/>
    <w:rsid w:val="001E1EE3"/>
    <w:rsid w:val="00215361"/>
    <w:rsid w:val="002472B1"/>
    <w:rsid w:val="00256156"/>
    <w:rsid w:val="00260BE7"/>
    <w:rsid w:val="00277294"/>
    <w:rsid w:val="002C7153"/>
    <w:rsid w:val="002D6459"/>
    <w:rsid w:val="002E2FEC"/>
    <w:rsid w:val="00335ADD"/>
    <w:rsid w:val="0034216B"/>
    <w:rsid w:val="003535EF"/>
    <w:rsid w:val="003711D6"/>
    <w:rsid w:val="003B761F"/>
    <w:rsid w:val="003D3DE3"/>
    <w:rsid w:val="003D4494"/>
    <w:rsid w:val="00403E74"/>
    <w:rsid w:val="00422E36"/>
    <w:rsid w:val="00433D8C"/>
    <w:rsid w:val="004461FD"/>
    <w:rsid w:val="004B18FB"/>
    <w:rsid w:val="004C421F"/>
    <w:rsid w:val="004D1894"/>
    <w:rsid w:val="004D658C"/>
    <w:rsid w:val="004E0147"/>
    <w:rsid w:val="005247C2"/>
    <w:rsid w:val="00530C82"/>
    <w:rsid w:val="005378A1"/>
    <w:rsid w:val="00551BDA"/>
    <w:rsid w:val="005A0CB4"/>
    <w:rsid w:val="005B5911"/>
    <w:rsid w:val="005E10C3"/>
    <w:rsid w:val="005F6E91"/>
    <w:rsid w:val="00621DE6"/>
    <w:rsid w:val="006401B4"/>
    <w:rsid w:val="0065029A"/>
    <w:rsid w:val="00660C56"/>
    <w:rsid w:val="0066775B"/>
    <w:rsid w:val="006E6C5B"/>
    <w:rsid w:val="006F01C8"/>
    <w:rsid w:val="006F054A"/>
    <w:rsid w:val="00707491"/>
    <w:rsid w:val="007338DF"/>
    <w:rsid w:val="007557DC"/>
    <w:rsid w:val="007648EC"/>
    <w:rsid w:val="0076779E"/>
    <w:rsid w:val="00790EAF"/>
    <w:rsid w:val="007A41ED"/>
    <w:rsid w:val="007A5DCE"/>
    <w:rsid w:val="007B202E"/>
    <w:rsid w:val="007C3E91"/>
    <w:rsid w:val="00803517"/>
    <w:rsid w:val="00830631"/>
    <w:rsid w:val="00845A36"/>
    <w:rsid w:val="008462C9"/>
    <w:rsid w:val="00852A62"/>
    <w:rsid w:val="008A07E7"/>
    <w:rsid w:val="008A1BE2"/>
    <w:rsid w:val="008A3E7D"/>
    <w:rsid w:val="008B0CB7"/>
    <w:rsid w:val="008D4414"/>
    <w:rsid w:val="008E2BE0"/>
    <w:rsid w:val="00942695"/>
    <w:rsid w:val="00953A18"/>
    <w:rsid w:val="00976FD3"/>
    <w:rsid w:val="00984175"/>
    <w:rsid w:val="00985FCE"/>
    <w:rsid w:val="009907D8"/>
    <w:rsid w:val="009C37B1"/>
    <w:rsid w:val="009C4C4B"/>
    <w:rsid w:val="009E2608"/>
    <w:rsid w:val="009F2196"/>
    <w:rsid w:val="00A1300D"/>
    <w:rsid w:val="00A21B21"/>
    <w:rsid w:val="00A30C7A"/>
    <w:rsid w:val="00A43143"/>
    <w:rsid w:val="00A56AC2"/>
    <w:rsid w:val="00A65FD2"/>
    <w:rsid w:val="00AB5F01"/>
    <w:rsid w:val="00AD7C71"/>
    <w:rsid w:val="00AF5E88"/>
    <w:rsid w:val="00B37434"/>
    <w:rsid w:val="00B50A97"/>
    <w:rsid w:val="00B5310A"/>
    <w:rsid w:val="00B569E4"/>
    <w:rsid w:val="00BB6CED"/>
    <w:rsid w:val="00BD2401"/>
    <w:rsid w:val="00BD584C"/>
    <w:rsid w:val="00BE78AA"/>
    <w:rsid w:val="00C13F93"/>
    <w:rsid w:val="00C63C3C"/>
    <w:rsid w:val="00C853E2"/>
    <w:rsid w:val="00C977E7"/>
    <w:rsid w:val="00CA3D17"/>
    <w:rsid w:val="00CB37E8"/>
    <w:rsid w:val="00CC79A3"/>
    <w:rsid w:val="00D15310"/>
    <w:rsid w:val="00D1619F"/>
    <w:rsid w:val="00D542E5"/>
    <w:rsid w:val="00D66B2D"/>
    <w:rsid w:val="00D8488F"/>
    <w:rsid w:val="00DA0186"/>
    <w:rsid w:val="00DB53D2"/>
    <w:rsid w:val="00DD6A74"/>
    <w:rsid w:val="00DF4E31"/>
    <w:rsid w:val="00E237A1"/>
    <w:rsid w:val="00E32601"/>
    <w:rsid w:val="00E434E3"/>
    <w:rsid w:val="00E67A9D"/>
    <w:rsid w:val="00E73033"/>
    <w:rsid w:val="00E81964"/>
    <w:rsid w:val="00E8680A"/>
    <w:rsid w:val="00EA2201"/>
    <w:rsid w:val="00EC0A2B"/>
    <w:rsid w:val="00EF3BF2"/>
    <w:rsid w:val="00F03398"/>
    <w:rsid w:val="00F11BB4"/>
    <w:rsid w:val="00F14708"/>
    <w:rsid w:val="00F20A17"/>
    <w:rsid w:val="00F21FAA"/>
    <w:rsid w:val="00FA1D30"/>
    <w:rsid w:val="00FE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hps">
    <w:name w:val="hps"/>
    <w:basedOn w:val="Fuentedeprrafopredeter"/>
    <w:rsid w:val="0021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hps">
    <w:name w:val="hps"/>
    <w:basedOn w:val="Fuentedeprrafopredeter"/>
    <w:rsid w:val="0021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1599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1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37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38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2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40CB-703C-4F39-AEBB-26923CCC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3</cp:revision>
  <cp:lastPrinted>2011-08-12T19:37:00Z</cp:lastPrinted>
  <dcterms:created xsi:type="dcterms:W3CDTF">2022-10-27T20:05:00Z</dcterms:created>
  <dcterms:modified xsi:type="dcterms:W3CDTF">2022-10-27T20:05:00Z</dcterms:modified>
</cp:coreProperties>
</file>